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7427" w:rsidRDefault="00897427">
      <w:pPr>
        <w:pStyle w:val="Obsah1"/>
        <w:rPr>
          <w:rFonts w:asciiTheme="majorHAnsi" w:hAnsiTheme="majorHAnsi" w:cstheme="minorHAnsi"/>
          <w:caps/>
          <w:smallCaps/>
          <w:color w:val="FF0000"/>
          <w:sz w:val="24"/>
          <w:szCs w:val="24"/>
          <w:u w:val="single"/>
        </w:rPr>
      </w:pPr>
    </w:p>
    <w:p w:rsidR="009B7254" w:rsidRDefault="009D78E3" w:rsidP="006F74C5">
      <w:pPr>
        <w:pStyle w:val="Obsah1"/>
        <w:jc w:val="both"/>
        <w:rPr>
          <w:rFonts w:eastAsiaTheme="minorEastAsia" w:cstheme="minorBidi"/>
          <w:bCs w:val="0"/>
          <w:noProof/>
          <w:sz w:val="22"/>
        </w:rPr>
      </w:pPr>
      <w:r>
        <w:rPr>
          <w:rFonts w:asciiTheme="majorHAnsi" w:hAnsiTheme="majorHAnsi" w:cstheme="minorHAnsi"/>
          <w:caps/>
          <w:smallCaps/>
          <w:color w:val="FF0000"/>
          <w:sz w:val="24"/>
          <w:szCs w:val="24"/>
          <w:u w:val="single"/>
        </w:rPr>
        <w:fldChar w:fldCharType="begin"/>
      </w:r>
      <w:r>
        <w:rPr>
          <w:rFonts w:asciiTheme="majorHAnsi" w:hAnsiTheme="majorHAnsi" w:cstheme="minorHAnsi"/>
          <w:caps/>
          <w:smallCaps/>
          <w:color w:val="FF0000"/>
          <w:sz w:val="24"/>
          <w:szCs w:val="24"/>
          <w:u w:val="single"/>
        </w:rPr>
        <w:instrText xml:space="preserve"> TOC \o "1-3" \u </w:instrText>
      </w:r>
      <w:r>
        <w:rPr>
          <w:rFonts w:asciiTheme="majorHAnsi" w:hAnsiTheme="majorHAnsi" w:cstheme="minorHAnsi"/>
          <w:caps/>
          <w:smallCaps/>
          <w:color w:val="FF0000"/>
          <w:sz w:val="24"/>
          <w:szCs w:val="24"/>
          <w:u w:val="single"/>
        </w:rPr>
        <w:fldChar w:fldCharType="separate"/>
      </w:r>
      <w:r w:rsidR="00FB454D">
        <w:rPr>
          <w:rFonts w:cstheme="minorHAnsi"/>
          <w:noProof/>
        </w:rPr>
        <w:t>A</w:t>
      </w:r>
      <w:r w:rsidR="00F2229F">
        <w:rPr>
          <w:rFonts w:cstheme="minorHAnsi"/>
          <w:noProof/>
        </w:rPr>
        <w:t>)</w:t>
      </w:r>
      <w:r w:rsidR="009B7254">
        <w:rPr>
          <w:rFonts w:eastAsiaTheme="minorEastAsia" w:cstheme="minorBidi"/>
          <w:bCs w:val="0"/>
          <w:noProof/>
          <w:sz w:val="22"/>
        </w:rPr>
        <w:tab/>
      </w:r>
      <w:r w:rsidR="009B7254" w:rsidRPr="00D51D79">
        <w:rPr>
          <w:rFonts w:cstheme="minorHAnsi"/>
          <w:noProof/>
        </w:rPr>
        <w:t>IDENTIFIKAČNÍ ÚDAJE</w:t>
      </w:r>
      <w:r w:rsidR="00FB454D">
        <w:rPr>
          <w:rFonts w:cstheme="minorHAnsi"/>
          <w:noProof/>
        </w:rPr>
        <w:t xml:space="preserve"> OBJEKTU</w:t>
      </w:r>
      <w:r w:rsidR="009B7254">
        <w:rPr>
          <w:noProof/>
        </w:rPr>
        <w:tab/>
      </w:r>
    </w:p>
    <w:p w:rsidR="009B7254" w:rsidRDefault="00FB454D" w:rsidP="006F74C5">
      <w:pPr>
        <w:pStyle w:val="Obsah1"/>
        <w:jc w:val="both"/>
        <w:rPr>
          <w:rFonts w:eastAsiaTheme="minorEastAsia" w:cstheme="minorBidi"/>
          <w:bCs w:val="0"/>
          <w:noProof/>
          <w:sz w:val="22"/>
        </w:rPr>
      </w:pPr>
      <w:r>
        <w:rPr>
          <w:noProof/>
        </w:rPr>
        <w:t>B</w:t>
      </w:r>
      <w:r w:rsidR="00F2229F">
        <w:rPr>
          <w:noProof/>
        </w:rPr>
        <w:t>)</w:t>
      </w:r>
      <w:r w:rsidR="009B7254">
        <w:rPr>
          <w:rFonts w:eastAsiaTheme="minorEastAsia" w:cstheme="minorBidi"/>
          <w:bCs w:val="0"/>
          <w:noProof/>
          <w:sz w:val="22"/>
        </w:rPr>
        <w:tab/>
      </w:r>
      <w:r>
        <w:rPr>
          <w:noProof/>
        </w:rPr>
        <w:t>STRUČNÝ TECHNICKÝ POPIS SE ZDŮVODNĚNÍM NAVRŽENÉHO ŘEŠENÍ</w:t>
      </w:r>
      <w:r w:rsidR="009B7254">
        <w:rPr>
          <w:noProof/>
        </w:rPr>
        <w:tab/>
      </w:r>
    </w:p>
    <w:p w:rsidR="009B7254" w:rsidRDefault="00FB454D" w:rsidP="006F74C5">
      <w:pPr>
        <w:pStyle w:val="Obsah1"/>
        <w:jc w:val="both"/>
        <w:rPr>
          <w:rFonts w:eastAsiaTheme="minorEastAsia" w:cstheme="minorBidi"/>
          <w:bCs w:val="0"/>
          <w:noProof/>
          <w:sz w:val="22"/>
        </w:rPr>
      </w:pPr>
      <w:r>
        <w:rPr>
          <w:noProof/>
        </w:rPr>
        <w:t>C</w:t>
      </w:r>
      <w:r w:rsidR="00F2229F">
        <w:rPr>
          <w:noProof/>
        </w:rPr>
        <w:t>)</w:t>
      </w:r>
      <w:r w:rsidR="009B7254">
        <w:rPr>
          <w:rFonts w:eastAsiaTheme="minorEastAsia" w:cstheme="minorBidi"/>
          <w:bCs w:val="0"/>
          <w:noProof/>
          <w:sz w:val="22"/>
        </w:rPr>
        <w:tab/>
      </w:r>
      <w:r>
        <w:rPr>
          <w:rFonts w:eastAsiaTheme="minorEastAsia" w:cstheme="minorBidi"/>
          <w:bCs w:val="0"/>
          <w:noProof/>
          <w:sz w:val="22"/>
        </w:rPr>
        <w:t>VYHODNOCENÍ PRŮZKUMŮ A PODKLADŮ, VČETNĚ JEJICH VYUŽITÍ V DOKUMENTACI</w:t>
      </w:r>
      <w:r w:rsidR="009B7254">
        <w:rPr>
          <w:noProof/>
        </w:rPr>
        <w:tab/>
      </w:r>
    </w:p>
    <w:p w:rsidR="009B7254" w:rsidRDefault="00FB454D" w:rsidP="006F74C5">
      <w:pPr>
        <w:pStyle w:val="Obsah1"/>
        <w:jc w:val="both"/>
        <w:rPr>
          <w:rFonts w:eastAsiaTheme="minorEastAsia" w:cstheme="minorBidi"/>
          <w:bCs w:val="0"/>
          <w:noProof/>
          <w:sz w:val="22"/>
        </w:rPr>
      </w:pPr>
      <w:r>
        <w:rPr>
          <w:noProof/>
        </w:rPr>
        <w:t>D</w:t>
      </w:r>
      <w:r w:rsidR="00F2229F">
        <w:rPr>
          <w:noProof/>
        </w:rPr>
        <w:t>)</w:t>
      </w:r>
      <w:r w:rsidR="009B7254">
        <w:rPr>
          <w:rFonts w:eastAsiaTheme="minorEastAsia" w:cstheme="minorBidi"/>
          <w:bCs w:val="0"/>
          <w:noProof/>
          <w:sz w:val="22"/>
        </w:rPr>
        <w:tab/>
      </w:r>
      <w:r>
        <w:rPr>
          <w:rFonts w:eastAsiaTheme="minorEastAsia" w:cstheme="minorBidi"/>
          <w:bCs w:val="0"/>
          <w:noProof/>
          <w:sz w:val="22"/>
        </w:rPr>
        <w:t>VZTAHY POZEMNÍ KOMUNIKACE K OSTATNÍM OBJEKTŮM STAVBY</w:t>
      </w:r>
      <w:r w:rsidR="009B7254">
        <w:rPr>
          <w:noProof/>
        </w:rPr>
        <w:tab/>
      </w:r>
    </w:p>
    <w:p w:rsidR="009B7254" w:rsidRDefault="00FB454D" w:rsidP="006F74C5">
      <w:pPr>
        <w:pStyle w:val="Obsah1"/>
        <w:jc w:val="both"/>
        <w:rPr>
          <w:rFonts w:eastAsiaTheme="minorEastAsia" w:cstheme="minorBidi"/>
          <w:bCs w:val="0"/>
          <w:noProof/>
          <w:sz w:val="22"/>
        </w:rPr>
      </w:pPr>
      <w:r>
        <w:rPr>
          <w:rFonts w:cstheme="minorHAnsi"/>
          <w:noProof/>
        </w:rPr>
        <w:t>E</w:t>
      </w:r>
      <w:r w:rsidR="00F2229F">
        <w:rPr>
          <w:rFonts w:cstheme="minorHAnsi"/>
          <w:noProof/>
        </w:rPr>
        <w:t>)</w:t>
      </w:r>
      <w:r w:rsidR="009B7254">
        <w:rPr>
          <w:rFonts w:eastAsiaTheme="minorEastAsia" w:cstheme="minorBidi"/>
          <w:bCs w:val="0"/>
          <w:noProof/>
          <w:sz w:val="22"/>
        </w:rPr>
        <w:tab/>
      </w:r>
      <w:r>
        <w:rPr>
          <w:rFonts w:eastAsiaTheme="minorEastAsia" w:cstheme="minorBidi"/>
          <w:bCs w:val="0"/>
          <w:noProof/>
          <w:sz w:val="22"/>
        </w:rPr>
        <w:t>NÁVRH ZPEVNĚNÝCH PLOCH, VČETNĚ PŘÍPADNÝCH VÝPOČTŮ</w:t>
      </w:r>
      <w:r w:rsidR="009B7254">
        <w:rPr>
          <w:noProof/>
        </w:rPr>
        <w:tab/>
      </w:r>
    </w:p>
    <w:p w:rsidR="009B7254" w:rsidRDefault="00FB454D" w:rsidP="006F74C5">
      <w:pPr>
        <w:pStyle w:val="Obsah1"/>
        <w:jc w:val="both"/>
        <w:rPr>
          <w:rFonts w:eastAsiaTheme="minorEastAsia" w:cstheme="minorBidi"/>
          <w:bCs w:val="0"/>
          <w:noProof/>
          <w:sz w:val="22"/>
        </w:rPr>
      </w:pPr>
      <w:r>
        <w:rPr>
          <w:noProof/>
          <w:color w:val="808080" w:themeColor="background1" w:themeShade="80"/>
        </w:rPr>
        <w:t>1</w:t>
      </w:r>
      <w:r w:rsidR="009B7254" w:rsidRPr="00D51D79">
        <w:rPr>
          <w:noProof/>
          <w:color w:val="808080" w:themeColor="background1" w:themeShade="80"/>
        </w:rPr>
        <w:t>)</w:t>
      </w:r>
      <w:r w:rsidR="009B7254">
        <w:rPr>
          <w:rFonts w:eastAsiaTheme="minorEastAsia" w:cstheme="minorBidi"/>
          <w:bCs w:val="0"/>
          <w:noProof/>
          <w:sz w:val="22"/>
        </w:rPr>
        <w:tab/>
      </w:r>
      <w:r>
        <w:rPr>
          <w:noProof/>
          <w:color w:val="7F7F7F" w:themeColor="text1" w:themeTint="80"/>
        </w:rPr>
        <w:t>bourání a demolice</w:t>
      </w:r>
      <w:r w:rsidR="009B7254">
        <w:rPr>
          <w:noProof/>
        </w:rPr>
        <w:tab/>
      </w:r>
    </w:p>
    <w:p w:rsidR="009B7254" w:rsidRDefault="00FB454D" w:rsidP="006F74C5">
      <w:pPr>
        <w:pStyle w:val="Obsah1"/>
        <w:jc w:val="both"/>
        <w:rPr>
          <w:rFonts w:eastAsiaTheme="minorEastAsia" w:cstheme="minorBidi"/>
          <w:bCs w:val="0"/>
          <w:noProof/>
          <w:sz w:val="22"/>
        </w:rPr>
      </w:pPr>
      <w:r>
        <w:rPr>
          <w:noProof/>
          <w:color w:val="808080" w:themeColor="background1" w:themeShade="80"/>
        </w:rPr>
        <w:t>2</w:t>
      </w:r>
      <w:r w:rsidR="009B7254" w:rsidRPr="00D51D79">
        <w:rPr>
          <w:noProof/>
          <w:color w:val="808080" w:themeColor="background1" w:themeShade="80"/>
        </w:rPr>
        <w:t>)</w:t>
      </w:r>
      <w:r w:rsidR="009B7254">
        <w:rPr>
          <w:rFonts w:eastAsiaTheme="minorEastAsia" w:cstheme="minorBidi"/>
          <w:bCs w:val="0"/>
          <w:noProof/>
          <w:sz w:val="22"/>
        </w:rPr>
        <w:tab/>
      </w:r>
      <w:r>
        <w:rPr>
          <w:noProof/>
          <w:color w:val="7F7F7F" w:themeColor="text1" w:themeTint="80"/>
        </w:rPr>
        <w:t>zemní práce</w:t>
      </w:r>
      <w:r w:rsidR="009B7254">
        <w:rPr>
          <w:noProof/>
        </w:rPr>
        <w:tab/>
      </w:r>
    </w:p>
    <w:p w:rsidR="009B7254" w:rsidRDefault="00FB454D" w:rsidP="006F74C5">
      <w:pPr>
        <w:pStyle w:val="Obsah1"/>
        <w:jc w:val="both"/>
        <w:rPr>
          <w:rFonts w:eastAsiaTheme="minorEastAsia" w:cstheme="minorBidi"/>
          <w:bCs w:val="0"/>
          <w:noProof/>
          <w:sz w:val="22"/>
        </w:rPr>
      </w:pPr>
      <w:r>
        <w:rPr>
          <w:noProof/>
          <w:color w:val="808080" w:themeColor="background1" w:themeShade="80"/>
        </w:rPr>
        <w:t>3</w:t>
      </w:r>
      <w:r w:rsidR="009B7254" w:rsidRPr="00D51D79">
        <w:rPr>
          <w:noProof/>
          <w:color w:val="808080" w:themeColor="background1" w:themeShade="80"/>
        </w:rPr>
        <w:t>)</w:t>
      </w:r>
      <w:r w:rsidR="009B7254">
        <w:rPr>
          <w:rFonts w:eastAsiaTheme="minorEastAsia" w:cstheme="minorBidi"/>
          <w:bCs w:val="0"/>
          <w:noProof/>
          <w:sz w:val="22"/>
        </w:rPr>
        <w:tab/>
      </w:r>
      <w:r>
        <w:rPr>
          <w:noProof/>
          <w:color w:val="7F7F7F" w:themeColor="text1" w:themeTint="80"/>
        </w:rPr>
        <w:t>skladba zpevněných ploch</w:t>
      </w:r>
      <w:r w:rsidR="009B7254">
        <w:rPr>
          <w:noProof/>
        </w:rPr>
        <w:tab/>
      </w:r>
    </w:p>
    <w:p w:rsidR="009B7254" w:rsidRDefault="00FB454D" w:rsidP="006F74C5">
      <w:pPr>
        <w:pStyle w:val="Obsah1"/>
        <w:jc w:val="both"/>
        <w:rPr>
          <w:rFonts w:eastAsiaTheme="minorEastAsia" w:cstheme="minorBidi"/>
          <w:bCs w:val="0"/>
          <w:noProof/>
          <w:sz w:val="22"/>
        </w:rPr>
      </w:pPr>
      <w:r>
        <w:rPr>
          <w:noProof/>
          <w:color w:val="808080" w:themeColor="background1" w:themeShade="80"/>
        </w:rPr>
        <w:t>4</w:t>
      </w:r>
      <w:r w:rsidR="009B7254" w:rsidRPr="00D51D79">
        <w:rPr>
          <w:noProof/>
          <w:color w:val="808080" w:themeColor="background1" w:themeShade="80"/>
        </w:rPr>
        <w:t>)</w:t>
      </w:r>
      <w:r w:rsidR="009B7254">
        <w:rPr>
          <w:rFonts w:eastAsiaTheme="minorEastAsia" w:cstheme="minorBidi"/>
          <w:bCs w:val="0"/>
          <w:noProof/>
          <w:sz w:val="22"/>
        </w:rPr>
        <w:tab/>
      </w:r>
      <w:r>
        <w:rPr>
          <w:noProof/>
          <w:color w:val="7F7F7F" w:themeColor="text1" w:themeTint="80"/>
        </w:rPr>
        <w:t>sadové úpravy</w:t>
      </w:r>
      <w:r w:rsidR="009B7254">
        <w:rPr>
          <w:noProof/>
        </w:rPr>
        <w:tab/>
      </w:r>
    </w:p>
    <w:p w:rsidR="00FB454D" w:rsidRPr="00FB454D" w:rsidRDefault="00FB454D" w:rsidP="006F74C5">
      <w:pPr>
        <w:pStyle w:val="Obsah1"/>
        <w:jc w:val="both"/>
        <w:rPr>
          <w:noProof/>
        </w:rPr>
      </w:pPr>
      <w:r>
        <w:rPr>
          <w:rFonts w:cstheme="minorHAnsi"/>
          <w:noProof/>
        </w:rPr>
        <w:t>F</w:t>
      </w:r>
      <w:r w:rsidR="00F2229F">
        <w:rPr>
          <w:rFonts w:cstheme="minorHAnsi"/>
          <w:noProof/>
        </w:rPr>
        <w:t>)</w:t>
      </w:r>
      <w:r w:rsidR="009B7254">
        <w:rPr>
          <w:rFonts w:eastAsiaTheme="minorEastAsia" w:cstheme="minorBidi"/>
          <w:bCs w:val="0"/>
          <w:noProof/>
          <w:sz w:val="22"/>
        </w:rPr>
        <w:tab/>
      </w:r>
      <w:r>
        <w:rPr>
          <w:rFonts w:eastAsiaTheme="minorEastAsia" w:cstheme="minorBidi"/>
          <w:bCs w:val="0"/>
          <w:noProof/>
          <w:sz w:val="22"/>
        </w:rPr>
        <w:t>REŽIM POVRCHOVÝCH A PODZEMNÍCH VOD, ZÁSADY ODVODNĚNÍ, OCHRANA POZEMNÍ KOMUNIKACE</w:t>
      </w:r>
      <w:r w:rsidR="009B7254">
        <w:rPr>
          <w:noProof/>
        </w:rPr>
        <w:tab/>
      </w:r>
    </w:p>
    <w:p w:rsidR="009B7254" w:rsidRDefault="006F74C5" w:rsidP="006F74C5">
      <w:pPr>
        <w:pStyle w:val="Obsah1"/>
        <w:jc w:val="both"/>
        <w:rPr>
          <w:rFonts w:eastAsiaTheme="minorEastAsia" w:cstheme="minorBidi"/>
          <w:bCs w:val="0"/>
          <w:noProof/>
          <w:sz w:val="22"/>
        </w:rPr>
      </w:pPr>
      <w:r>
        <w:rPr>
          <w:noProof/>
        </w:rPr>
        <w:t>G</w:t>
      </w:r>
      <w:r w:rsidR="009B7254" w:rsidRPr="00FB454D">
        <w:rPr>
          <w:rFonts w:eastAsiaTheme="minorEastAsia" w:cstheme="minorBidi"/>
          <w:bCs w:val="0"/>
          <w:noProof/>
          <w:sz w:val="22"/>
        </w:rPr>
        <w:t>)</w:t>
      </w:r>
      <w:r w:rsidR="009B7254">
        <w:rPr>
          <w:rFonts w:eastAsiaTheme="minorEastAsia" w:cstheme="minorBidi"/>
          <w:bCs w:val="0"/>
          <w:noProof/>
          <w:sz w:val="22"/>
        </w:rPr>
        <w:tab/>
      </w:r>
      <w:r>
        <w:rPr>
          <w:rFonts w:eastAsiaTheme="minorEastAsia" w:cstheme="minorBidi"/>
          <w:bCs w:val="0"/>
          <w:noProof/>
          <w:sz w:val="22"/>
        </w:rPr>
        <w:t>NÁVRH DOPRAVNÍCH ZNAČEK, DOPRAVNÍCH ZAŘÍZENÍ, SVĚTELNÝCH SIGNÁLŮ, ZAŘÍZENÍ PRO PROVOZNÍ INFORMACE A DOPRAVNÍ TELEMATIKU</w:t>
      </w:r>
      <w:r w:rsidR="009B7254">
        <w:rPr>
          <w:noProof/>
        </w:rPr>
        <w:tab/>
      </w:r>
    </w:p>
    <w:p w:rsidR="009B7254" w:rsidRDefault="006F74C5" w:rsidP="006F74C5">
      <w:pPr>
        <w:pStyle w:val="Obsah1"/>
        <w:jc w:val="both"/>
        <w:rPr>
          <w:rFonts w:eastAsiaTheme="minorEastAsia" w:cstheme="minorBidi"/>
          <w:bCs w:val="0"/>
          <w:noProof/>
          <w:sz w:val="22"/>
        </w:rPr>
      </w:pPr>
      <w:r>
        <w:rPr>
          <w:noProof/>
        </w:rPr>
        <w:t>H</w:t>
      </w:r>
      <w:r w:rsidR="009B7254" w:rsidRPr="006F74C5">
        <w:rPr>
          <w:noProof/>
        </w:rPr>
        <w:t>)</w:t>
      </w:r>
      <w:r w:rsidR="009B7254" w:rsidRPr="006F74C5">
        <w:rPr>
          <w:noProof/>
        </w:rPr>
        <w:tab/>
      </w:r>
      <w:r>
        <w:rPr>
          <w:noProof/>
        </w:rPr>
        <w:t>ZVLÁŠTNÍ PODMÍNKY A POŽADAVKY NA POSTUP VÝSTAVBY, PŘÍPADNĚ ÚDRŽBU</w:t>
      </w:r>
      <w:r w:rsidR="009B7254">
        <w:rPr>
          <w:noProof/>
        </w:rPr>
        <w:tab/>
      </w:r>
    </w:p>
    <w:p w:rsidR="009B7254" w:rsidRDefault="006F74C5" w:rsidP="006F74C5">
      <w:pPr>
        <w:pStyle w:val="Obsah1"/>
        <w:jc w:val="both"/>
        <w:rPr>
          <w:rFonts w:eastAsiaTheme="minorEastAsia" w:cstheme="minorBidi"/>
          <w:bCs w:val="0"/>
          <w:noProof/>
          <w:sz w:val="22"/>
        </w:rPr>
      </w:pPr>
      <w:r>
        <w:rPr>
          <w:noProof/>
        </w:rPr>
        <w:t>I</w:t>
      </w:r>
      <w:r w:rsidR="009B7254" w:rsidRPr="006F74C5">
        <w:rPr>
          <w:noProof/>
        </w:rPr>
        <w:t>)</w:t>
      </w:r>
      <w:r w:rsidR="009B7254" w:rsidRPr="006F74C5">
        <w:rPr>
          <w:noProof/>
        </w:rPr>
        <w:tab/>
      </w:r>
      <w:r>
        <w:rPr>
          <w:noProof/>
        </w:rPr>
        <w:t>VAZBA NA PŘÍPADNÉ TECHNOLOGICKÉ VYBAVENÍ</w:t>
      </w:r>
      <w:r w:rsidR="009B7254">
        <w:rPr>
          <w:noProof/>
        </w:rPr>
        <w:tab/>
      </w:r>
    </w:p>
    <w:p w:rsidR="009B7254" w:rsidRDefault="006F74C5" w:rsidP="006F74C5">
      <w:pPr>
        <w:pStyle w:val="Obsah1"/>
        <w:jc w:val="both"/>
        <w:rPr>
          <w:rFonts w:eastAsiaTheme="minorEastAsia" w:cstheme="minorBidi"/>
          <w:bCs w:val="0"/>
          <w:noProof/>
          <w:sz w:val="22"/>
        </w:rPr>
      </w:pPr>
      <w:r w:rsidRPr="006F74C5">
        <w:rPr>
          <w:noProof/>
        </w:rPr>
        <w:t>J</w:t>
      </w:r>
      <w:r w:rsidR="009B7254" w:rsidRPr="006F74C5">
        <w:rPr>
          <w:noProof/>
        </w:rPr>
        <w:t>)</w:t>
      </w:r>
      <w:r w:rsidR="009B7254" w:rsidRPr="006F74C5">
        <w:rPr>
          <w:noProof/>
        </w:rPr>
        <w:tab/>
      </w:r>
      <w:r>
        <w:rPr>
          <w:noProof/>
        </w:rPr>
        <w:t>PŘEHLED PROVEDENÝCH VÝPOČTŮ A KONSTATOVÁNÍ O STATICKÉM OVĚŘENÍ ROZHODUJÍCÍCH DIMENZÍ A PRŮŘEZŮ</w:t>
      </w:r>
      <w:r w:rsidR="009B7254">
        <w:rPr>
          <w:noProof/>
        </w:rPr>
        <w:tab/>
      </w:r>
    </w:p>
    <w:p w:rsidR="009B7254" w:rsidRDefault="006F74C5" w:rsidP="006F74C5">
      <w:pPr>
        <w:pStyle w:val="Obsah1"/>
        <w:jc w:val="both"/>
        <w:rPr>
          <w:rFonts w:eastAsiaTheme="minorEastAsia" w:cstheme="minorBidi"/>
          <w:bCs w:val="0"/>
          <w:noProof/>
          <w:sz w:val="22"/>
        </w:rPr>
      </w:pPr>
      <w:r>
        <w:rPr>
          <w:noProof/>
        </w:rPr>
        <w:t>K</w:t>
      </w:r>
      <w:r w:rsidR="009B7254" w:rsidRPr="006F74C5">
        <w:rPr>
          <w:noProof/>
        </w:rPr>
        <w:t>)</w:t>
      </w:r>
      <w:r w:rsidR="009B7254" w:rsidRPr="006F74C5">
        <w:rPr>
          <w:noProof/>
        </w:rPr>
        <w:tab/>
      </w:r>
      <w:r>
        <w:rPr>
          <w:noProof/>
        </w:rPr>
        <w:t>ŘEŠENÍ PŘÍSTUPU A UŽÍVÁNÍ VEŘEJNĚ PŘÍSTUPNÝCH KOMUNIKACÍ A PLOCH SOUVISEJÍCÍCH SE STAVENIŠTĚM OSOBAMI S OMEZENOU SCHOPNOSTÍ POHYBU A ORIENTACE</w:t>
      </w:r>
      <w:r w:rsidR="009B7254">
        <w:rPr>
          <w:noProof/>
        </w:rPr>
        <w:tab/>
      </w:r>
    </w:p>
    <w:p w:rsidR="009B7254" w:rsidRDefault="009B7254" w:rsidP="006F74C5">
      <w:pPr>
        <w:pStyle w:val="Obsah1"/>
        <w:jc w:val="both"/>
        <w:rPr>
          <w:rFonts w:eastAsiaTheme="minorEastAsia" w:cstheme="minorBidi"/>
          <w:bCs w:val="0"/>
          <w:noProof/>
          <w:sz w:val="22"/>
        </w:rPr>
      </w:pPr>
    </w:p>
    <w:p w:rsidR="00093FDD" w:rsidRDefault="009D78E3" w:rsidP="006F74C5">
      <w:pPr>
        <w:pStyle w:val="Obsah2"/>
        <w:jc w:val="both"/>
        <w:rPr>
          <w:rFonts w:cstheme="minorHAnsi"/>
          <w:b w:val="0"/>
          <w:bCs w:val="0"/>
          <w:kern w:val="32"/>
        </w:rPr>
      </w:pPr>
      <w:r>
        <w:rPr>
          <w:rFonts w:asciiTheme="majorHAnsi" w:hAnsiTheme="majorHAnsi" w:cstheme="minorHAnsi"/>
          <w:caps/>
          <w:smallCaps w:val="0"/>
          <w:color w:val="FF0000"/>
          <w:sz w:val="24"/>
          <w:szCs w:val="24"/>
          <w:u w:val="single"/>
        </w:rPr>
        <w:fldChar w:fldCharType="end"/>
      </w:r>
      <w:bookmarkStart w:id="0" w:name="_Toc169569694"/>
      <w:bookmarkStart w:id="1" w:name="_Toc200254731"/>
      <w:r w:rsidR="00093FDD">
        <w:rPr>
          <w:rFonts w:cstheme="minorHAnsi"/>
        </w:rPr>
        <w:br w:type="page"/>
      </w:r>
    </w:p>
    <w:p w:rsidR="005175C5" w:rsidRPr="005175C5" w:rsidRDefault="00FB454D" w:rsidP="00AA7230">
      <w:pPr>
        <w:pStyle w:val="Nadpis1"/>
        <w:numPr>
          <w:ilvl w:val="0"/>
          <w:numId w:val="0"/>
        </w:numPr>
        <w:spacing w:before="0" w:after="0" w:line="360" w:lineRule="auto"/>
        <w:ind w:left="360" w:hanging="360"/>
        <w:rPr>
          <w:rFonts w:asciiTheme="minorHAnsi" w:hAnsiTheme="minorHAnsi" w:cstheme="minorHAnsi"/>
          <w:szCs w:val="20"/>
        </w:rPr>
      </w:pPr>
      <w:r>
        <w:rPr>
          <w:rFonts w:asciiTheme="minorHAnsi" w:hAnsiTheme="minorHAnsi" w:cstheme="minorHAnsi"/>
          <w:szCs w:val="20"/>
        </w:rPr>
        <w:lastRenderedPageBreak/>
        <w:t>A</w:t>
      </w:r>
      <w:r w:rsidR="00AA7230">
        <w:rPr>
          <w:rFonts w:asciiTheme="minorHAnsi" w:hAnsiTheme="minorHAnsi" w:cstheme="minorHAnsi"/>
          <w:szCs w:val="20"/>
        </w:rPr>
        <w:t xml:space="preserve">) </w:t>
      </w:r>
      <w:bookmarkStart w:id="2" w:name="_Toc366131763"/>
      <w:bookmarkStart w:id="3" w:name="_Toc366132469"/>
      <w:bookmarkStart w:id="4" w:name="_Toc366132543"/>
      <w:bookmarkStart w:id="5" w:name="_Toc366132615"/>
      <w:bookmarkStart w:id="6" w:name="_Toc424649201"/>
      <w:r w:rsidR="00BB6001" w:rsidRPr="005175C5">
        <w:rPr>
          <w:rFonts w:asciiTheme="minorHAnsi" w:hAnsiTheme="minorHAnsi" w:cstheme="minorHAnsi"/>
          <w:szCs w:val="20"/>
        </w:rPr>
        <w:t>IDENTIFIKAČNÍ ÚDAJE</w:t>
      </w:r>
      <w:bookmarkEnd w:id="2"/>
      <w:bookmarkEnd w:id="3"/>
      <w:bookmarkEnd w:id="4"/>
      <w:bookmarkEnd w:id="5"/>
      <w:bookmarkEnd w:id="6"/>
    </w:p>
    <w:p w:rsidR="00A946FC" w:rsidRDefault="00A946FC" w:rsidP="00C53B25">
      <w:pPr>
        <w:pStyle w:val="Nadpis1"/>
        <w:numPr>
          <w:ilvl w:val="1"/>
          <w:numId w:val="2"/>
        </w:numPr>
        <w:spacing w:before="0" w:after="0" w:line="360" w:lineRule="auto"/>
        <w:rPr>
          <w:rFonts w:asciiTheme="minorHAnsi" w:hAnsiTheme="minorHAnsi"/>
        </w:rPr>
      </w:pPr>
      <w:bookmarkStart w:id="7" w:name="_Toc366131764"/>
      <w:bookmarkStart w:id="8" w:name="_Toc366132470"/>
      <w:bookmarkStart w:id="9" w:name="_Toc366132544"/>
      <w:bookmarkStart w:id="10" w:name="_Toc366132616"/>
      <w:bookmarkStart w:id="11" w:name="_Toc424649202"/>
      <w:r w:rsidRPr="005175C5">
        <w:rPr>
          <w:rFonts w:asciiTheme="minorHAnsi" w:hAnsiTheme="minorHAnsi"/>
        </w:rPr>
        <w:t>Údaje o stavbě</w:t>
      </w:r>
      <w:bookmarkEnd w:id="7"/>
      <w:bookmarkEnd w:id="8"/>
      <w:bookmarkEnd w:id="9"/>
      <w:bookmarkEnd w:id="10"/>
      <w:bookmarkEnd w:id="11"/>
    </w:p>
    <w:p w:rsidR="00A946FC" w:rsidRDefault="00A946FC" w:rsidP="00A946FC">
      <w:pPr>
        <w:pStyle w:val="Nadpis1"/>
        <w:numPr>
          <w:ilvl w:val="2"/>
          <w:numId w:val="2"/>
        </w:numPr>
        <w:spacing w:before="0" w:after="0" w:line="360" w:lineRule="auto"/>
        <w:ind w:left="567" w:hanging="284"/>
        <w:rPr>
          <w:rFonts w:asciiTheme="minorHAnsi" w:hAnsiTheme="minorHAnsi"/>
          <w:color w:val="7F7F7F" w:themeColor="text1" w:themeTint="80"/>
        </w:rPr>
      </w:pPr>
      <w:bookmarkStart w:id="12" w:name="_Toc366131765"/>
      <w:bookmarkStart w:id="13" w:name="_Toc366132471"/>
      <w:bookmarkStart w:id="14" w:name="_Toc366132545"/>
      <w:bookmarkStart w:id="15" w:name="_Toc366132617"/>
      <w:bookmarkStart w:id="16" w:name="_Toc424649203"/>
      <w:r w:rsidRPr="00F51E04">
        <w:rPr>
          <w:rFonts w:asciiTheme="minorHAnsi" w:hAnsiTheme="minorHAnsi"/>
          <w:color w:val="7F7F7F" w:themeColor="text1" w:themeTint="80"/>
        </w:rPr>
        <w:t>Název stavby</w:t>
      </w:r>
      <w:bookmarkEnd w:id="12"/>
      <w:bookmarkEnd w:id="13"/>
      <w:bookmarkEnd w:id="14"/>
      <w:bookmarkEnd w:id="15"/>
      <w:bookmarkEnd w:id="16"/>
    </w:p>
    <w:p w:rsidR="00A946FC" w:rsidRPr="001A789A" w:rsidRDefault="00DA6F2E" w:rsidP="00A946FC">
      <w:pPr>
        <w:spacing w:line="360" w:lineRule="auto"/>
        <w:rPr>
          <w:rFonts w:asciiTheme="minorHAnsi" w:hAnsiTheme="minorHAnsi" w:cstheme="minorHAnsi"/>
          <w:b/>
        </w:rPr>
      </w:pPr>
      <w:r>
        <w:rPr>
          <w:rFonts w:asciiTheme="minorHAnsi" w:hAnsiTheme="minorHAnsi" w:cstheme="minorHAnsi"/>
          <w:b/>
        </w:rPr>
        <w:t xml:space="preserve">Obnova povrchu </w:t>
      </w:r>
      <w:r w:rsidR="001A789A">
        <w:rPr>
          <w:rFonts w:asciiTheme="minorHAnsi" w:hAnsiTheme="minorHAnsi" w:cstheme="minorHAnsi"/>
          <w:b/>
        </w:rPr>
        <w:t>v ulici Pod Strážištěm, Chomutov</w:t>
      </w:r>
    </w:p>
    <w:p w:rsidR="00A946FC" w:rsidRDefault="00A946FC" w:rsidP="00A946FC">
      <w:pPr>
        <w:pStyle w:val="Nadpis1"/>
        <w:numPr>
          <w:ilvl w:val="2"/>
          <w:numId w:val="2"/>
        </w:numPr>
        <w:spacing w:before="0" w:after="0" w:line="360" w:lineRule="auto"/>
        <w:ind w:left="567" w:hanging="284"/>
        <w:rPr>
          <w:rFonts w:asciiTheme="minorHAnsi" w:hAnsiTheme="minorHAnsi"/>
          <w:color w:val="7F7F7F" w:themeColor="text1" w:themeTint="80"/>
        </w:rPr>
      </w:pPr>
      <w:bookmarkStart w:id="17" w:name="_Toc366131766"/>
      <w:bookmarkStart w:id="18" w:name="_Toc366132472"/>
      <w:bookmarkStart w:id="19" w:name="_Toc366132546"/>
      <w:bookmarkStart w:id="20" w:name="_Toc366132618"/>
      <w:bookmarkStart w:id="21" w:name="_Toc424649204"/>
      <w:r w:rsidRPr="005A7607">
        <w:rPr>
          <w:rFonts w:asciiTheme="minorHAnsi" w:hAnsiTheme="minorHAnsi"/>
          <w:color w:val="7F7F7F" w:themeColor="text1" w:themeTint="80"/>
        </w:rPr>
        <w:t>místo stavby (adresa, čísla popisná, katastrální území, parcelní čísla pozemků)</w:t>
      </w:r>
      <w:bookmarkEnd w:id="17"/>
      <w:bookmarkEnd w:id="18"/>
      <w:bookmarkEnd w:id="19"/>
      <w:bookmarkEnd w:id="20"/>
      <w:bookmarkEnd w:id="21"/>
    </w:p>
    <w:p w:rsidR="00A946FC" w:rsidRDefault="0036756E" w:rsidP="00A946FC">
      <w:pPr>
        <w:spacing w:line="360" w:lineRule="auto"/>
        <w:jc w:val="both"/>
        <w:rPr>
          <w:rFonts w:asciiTheme="minorHAnsi" w:hAnsiTheme="minorHAnsi" w:cstheme="minorHAnsi"/>
        </w:rPr>
      </w:pPr>
      <w:proofErr w:type="spellStart"/>
      <w:r>
        <w:rPr>
          <w:rFonts w:asciiTheme="minorHAnsi" w:hAnsiTheme="minorHAnsi" w:cstheme="minorHAnsi"/>
        </w:rPr>
        <w:t>k.ú.</w:t>
      </w:r>
      <w:r w:rsidR="00DA6F2E">
        <w:rPr>
          <w:rFonts w:asciiTheme="minorHAnsi" w:hAnsiTheme="minorHAnsi" w:cstheme="minorHAnsi"/>
        </w:rPr>
        <w:t>Chomutov</w:t>
      </w:r>
      <w:proofErr w:type="spellEnd"/>
      <w:r w:rsidR="00DA6F2E">
        <w:rPr>
          <w:rFonts w:asciiTheme="minorHAnsi" w:hAnsiTheme="minorHAnsi" w:cstheme="minorHAnsi"/>
        </w:rPr>
        <w:t xml:space="preserve"> I.</w:t>
      </w:r>
      <w:r w:rsidR="00245C55">
        <w:rPr>
          <w:rFonts w:asciiTheme="minorHAnsi" w:hAnsiTheme="minorHAnsi" w:cstheme="minorHAnsi"/>
        </w:rPr>
        <w:t>, ul.</w:t>
      </w:r>
      <w:r w:rsidR="001A789A">
        <w:rPr>
          <w:rFonts w:asciiTheme="minorHAnsi" w:hAnsiTheme="minorHAnsi" w:cstheme="minorHAnsi"/>
        </w:rPr>
        <w:t xml:space="preserve"> Pod Strážištěm od křižovatky </w:t>
      </w:r>
      <w:proofErr w:type="spellStart"/>
      <w:r w:rsidR="001A789A">
        <w:rPr>
          <w:rFonts w:asciiTheme="minorHAnsi" w:hAnsiTheme="minorHAnsi" w:cstheme="minorHAnsi"/>
        </w:rPr>
        <w:t>Březenecká</w:t>
      </w:r>
      <w:proofErr w:type="spellEnd"/>
      <w:r w:rsidR="001A789A">
        <w:rPr>
          <w:rFonts w:asciiTheme="minorHAnsi" w:hAnsiTheme="minorHAnsi" w:cstheme="minorHAnsi"/>
        </w:rPr>
        <w:t xml:space="preserve"> po křižovatku Blatenská</w:t>
      </w:r>
    </w:p>
    <w:p w:rsidR="001A789A" w:rsidRPr="00D62102" w:rsidRDefault="001A789A" w:rsidP="00A946FC">
      <w:pPr>
        <w:spacing w:line="360" w:lineRule="auto"/>
        <w:jc w:val="both"/>
        <w:rPr>
          <w:rFonts w:asciiTheme="minorHAnsi" w:hAnsiTheme="minorHAnsi" w:cstheme="minorHAnsi"/>
        </w:rPr>
      </w:pPr>
    </w:p>
    <w:p w:rsidR="00A946FC" w:rsidRPr="005A7607" w:rsidRDefault="00A946FC" w:rsidP="00A946FC">
      <w:pPr>
        <w:pStyle w:val="Nadpis1"/>
        <w:numPr>
          <w:ilvl w:val="2"/>
          <w:numId w:val="2"/>
        </w:numPr>
        <w:spacing w:before="0" w:after="0" w:line="360" w:lineRule="auto"/>
        <w:ind w:left="567" w:hanging="284"/>
        <w:rPr>
          <w:rFonts w:asciiTheme="minorHAnsi" w:hAnsiTheme="minorHAnsi"/>
          <w:color w:val="7F7F7F" w:themeColor="text1" w:themeTint="80"/>
        </w:rPr>
      </w:pPr>
      <w:bookmarkStart w:id="22" w:name="_Toc366131767"/>
      <w:bookmarkStart w:id="23" w:name="_Toc366132473"/>
      <w:bookmarkStart w:id="24" w:name="_Toc366132547"/>
      <w:bookmarkStart w:id="25" w:name="_Toc366132619"/>
      <w:bookmarkStart w:id="26" w:name="_Toc424649205"/>
      <w:r w:rsidRPr="005A7607">
        <w:rPr>
          <w:rFonts w:asciiTheme="minorHAnsi" w:hAnsiTheme="minorHAnsi"/>
          <w:color w:val="7F7F7F" w:themeColor="text1" w:themeTint="80"/>
        </w:rPr>
        <w:t>předmět dokumentace</w:t>
      </w:r>
      <w:bookmarkEnd w:id="22"/>
      <w:bookmarkEnd w:id="23"/>
      <w:bookmarkEnd w:id="24"/>
      <w:bookmarkEnd w:id="25"/>
      <w:bookmarkEnd w:id="26"/>
    </w:p>
    <w:p w:rsidR="0036756E" w:rsidRPr="0036756E" w:rsidRDefault="00DA6F2E" w:rsidP="0036756E">
      <w:pPr>
        <w:spacing w:line="360" w:lineRule="auto"/>
        <w:jc w:val="both"/>
        <w:rPr>
          <w:rFonts w:asciiTheme="minorHAnsi" w:hAnsiTheme="minorHAnsi" w:cstheme="minorHAnsi"/>
        </w:rPr>
      </w:pPr>
      <w:r>
        <w:rPr>
          <w:rFonts w:asciiTheme="minorHAnsi" w:hAnsiTheme="minorHAnsi" w:cstheme="minorHAnsi"/>
        </w:rPr>
        <w:t>Dokumentace</w:t>
      </w:r>
      <w:r w:rsidR="001A789A">
        <w:rPr>
          <w:rFonts w:asciiTheme="minorHAnsi" w:hAnsiTheme="minorHAnsi" w:cstheme="minorHAnsi"/>
        </w:rPr>
        <w:t xml:space="preserve"> řeší obnovu povrchu stávající asfaltové vozovky</w:t>
      </w:r>
      <w:r w:rsidR="00F42F06">
        <w:rPr>
          <w:rFonts w:asciiTheme="minorHAnsi" w:hAnsiTheme="minorHAnsi" w:cstheme="minorHAnsi"/>
        </w:rPr>
        <w:t xml:space="preserve"> a chodníku</w:t>
      </w:r>
      <w:r w:rsidR="001A789A">
        <w:rPr>
          <w:rFonts w:asciiTheme="minorHAnsi" w:hAnsiTheme="minorHAnsi" w:cstheme="minorHAnsi"/>
        </w:rPr>
        <w:t xml:space="preserve">, </w:t>
      </w:r>
      <w:r w:rsidR="00F42F06">
        <w:rPr>
          <w:rFonts w:asciiTheme="minorHAnsi" w:hAnsiTheme="minorHAnsi" w:cstheme="minorHAnsi"/>
        </w:rPr>
        <w:t xml:space="preserve">včetně obnovy všech obrubníků. Součástí je rovněž výškové vyrovnání a přesunutí stávajících uličních vpustí, nové vodorovné dopravní značení a nové prvky pro nevidomé a slabozraké. </w:t>
      </w:r>
    </w:p>
    <w:p w:rsidR="00A946FC" w:rsidRPr="001914A6" w:rsidRDefault="00A946FC" w:rsidP="00A946FC">
      <w:pPr>
        <w:spacing w:line="360" w:lineRule="auto"/>
        <w:jc w:val="both"/>
        <w:rPr>
          <w:rFonts w:asciiTheme="minorHAnsi" w:hAnsiTheme="minorHAnsi" w:cstheme="minorHAnsi"/>
        </w:rPr>
      </w:pPr>
    </w:p>
    <w:p w:rsidR="00A946FC" w:rsidRDefault="00A946FC" w:rsidP="00A946FC">
      <w:pPr>
        <w:pStyle w:val="Nadpis1"/>
        <w:numPr>
          <w:ilvl w:val="1"/>
          <w:numId w:val="2"/>
        </w:numPr>
        <w:spacing w:before="0" w:after="0" w:line="360" w:lineRule="auto"/>
        <w:ind w:left="567" w:hanging="567"/>
        <w:rPr>
          <w:rFonts w:asciiTheme="minorHAnsi" w:hAnsiTheme="minorHAnsi"/>
        </w:rPr>
      </w:pPr>
      <w:bookmarkStart w:id="27" w:name="_Toc366131768"/>
      <w:bookmarkStart w:id="28" w:name="_Toc366132474"/>
      <w:bookmarkStart w:id="29" w:name="_Toc366132548"/>
      <w:bookmarkStart w:id="30" w:name="_Toc366132620"/>
      <w:bookmarkStart w:id="31" w:name="_Toc424649206"/>
      <w:r w:rsidRPr="005175C5">
        <w:rPr>
          <w:rFonts w:asciiTheme="minorHAnsi" w:hAnsiTheme="minorHAnsi"/>
        </w:rPr>
        <w:t>Údaje o žadatel</w:t>
      </w:r>
      <w:r>
        <w:rPr>
          <w:rFonts w:asciiTheme="minorHAnsi" w:hAnsiTheme="minorHAnsi"/>
        </w:rPr>
        <w:t xml:space="preserve">i / </w:t>
      </w:r>
      <w:r w:rsidRPr="005175C5">
        <w:rPr>
          <w:rFonts w:asciiTheme="minorHAnsi" w:hAnsiTheme="minorHAnsi"/>
        </w:rPr>
        <w:t>stavebníkovi</w:t>
      </w:r>
      <w:bookmarkEnd w:id="27"/>
      <w:bookmarkEnd w:id="28"/>
      <w:bookmarkEnd w:id="29"/>
      <w:bookmarkEnd w:id="30"/>
      <w:bookmarkEnd w:id="31"/>
    </w:p>
    <w:p w:rsidR="00DA6F2E" w:rsidRPr="00DA6F2E" w:rsidRDefault="00DA6F2E" w:rsidP="00DA6F2E">
      <w:pPr>
        <w:spacing w:line="360" w:lineRule="auto"/>
        <w:jc w:val="both"/>
        <w:rPr>
          <w:rFonts w:asciiTheme="minorHAnsi" w:hAnsiTheme="minorHAnsi" w:cstheme="minorHAnsi"/>
        </w:rPr>
      </w:pPr>
      <w:r w:rsidRPr="00DA6F2E">
        <w:rPr>
          <w:rFonts w:asciiTheme="minorHAnsi" w:hAnsiTheme="minorHAnsi" w:cstheme="minorHAnsi"/>
        </w:rPr>
        <w:t>Statutární město Chomutov, Zborovského 4602, 430 01 Chomutov</w:t>
      </w:r>
    </w:p>
    <w:p w:rsidR="00A946FC" w:rsidRPr="007A38FD" w:rsidRDefault="00A946FC" w:rsidP="00A946FC">
      <w:pPr>
        <w:spacing w:line="360" w:lineRule="auto"/>
      </w:pPr>
    </w:p>
    <w:p w:rsidR="00A946FC" w:rsidRDefault="00A946FC" w:rsidP="00A946FC">
      <w:pPr>
        <w:pStyle w:val="Nadpis1"/>
        <w:numPr>
          <w:ilvl w:val="1"/>
          <w:numId w:val="2"/>
        </w:numPr>
        <w:spacing w:before="0" w:after="0" w:line="360" w:lineRule="auto"/>
        <w:ind w:left="567" w:hanging="567"/>
        <w:rPr>
          <w:rFonts w:asciiTheme="minorHAnsi" w:hAnsiTheme="minorHAnsi"/>
        </w:rPr>
      </w:pPr>
      <w:bookmarkStart w:id="32" w:name="_Toc366131769"/>
      <w:bookmarkStart w:id="33" w:name="_Toc366132475"/>
      <w:bookmarkStart w:id="34" w:name="_Toc366132549"/>
      <w:bookmarkStart w:id="35" w:name="_Toc366132621"/>
      <w:bookmarkStart w:id="36" w:name="_Toc424649207"/>
      <w:r w:rsidRPr="005175C5">
        <w:rPr>
          <w:rFonts w:asciiTheme="minorHAnsi" w:hAnsiTheme="minorHAnsi"/>
        </w:rPr>
        <w:t>Údaje o zpracovateli dokumentace</w:t>
      </w:r>
      <w:bookmarkEnd w:id="32"/>
      <w:bookmarkEnd w:id="33"/>
      <w:bookmarkEnd w:id="34"/>
      <w:bookmarkEnd w:id="35"/>
      <w:bookmarkEnd w:id="36"/>
    </w:p>
    <w:p w:rsidR="00A946FC" w:rsidRPr="001F1762" w:rsidRDefault="00A946FC" w:rsidP="00A946FC">
      <w:pPr>
        <w:pStyle w:val="Nadpis1"/>
        <w:numPr>
          <w:ilvl w:val="2"/>
          <w:numId w:val="2"/>
        </w:numPr>
        <w:spacing w:before="0" w:after="0" w:line="360" w:lineRule="auto"/>
        <w:ind w:left="568" w:hanging="284"/>
        <w:jc w:val="both"/>
        <w:rPr>
          <w:rFonts w:asciiTheme="minorHAnsi" w:hAnsiTheme="minorHAnsi"/>
          <w:color w:val="7F7F7F" w:themeColor="text1" w:themeTint="80"/>
        </w:rPr>
      </w:pPr>
      <w:bookmarkStart w:id="37" w:name="_Toc366131770"/>
      <w:bookmarkStart w:id="38" w:name="_Toc366132476"/>
      <w:bookmarkStart w:id="39" w:name="_Toc366132550"/>
      <w:bookmarkStart w:id="40" w:name="_Toc366132622"/>
      <w:bookmarkStart w:id="41" w:name="_Toc424649208"/>
      <w:r w:rsidRPr="001F1762">
        <w:rPr>
          <w:rFonts w:asciiTheme="minorHAnsi" w:hAnsiTheme="minorHAnsi"/>
          <w:color w:val="7F7F7F" w:themeColor="text1" w:themeTint="80"/>
        </w:rPr>
        <w:t>Jméno, příjmení, obchodní firma, IČ, místo podnikání nebo obchodní firma nebo název, IČ, adresa sídla</w:t>
      </w:r>
      <w:bookmarkEnd w:id="37"/>
      <w:bookmarkEnd w:id="38"/>
      <w:bookmarkEnd w:id="39"/>
      <w:bookmarkEnd w:id="40"/>
      <w:bookmarkEnd w:id="41"/>
    </w:p>
    <w:p w:rsidR="00A946FC" w:rsidRPr="0002052C" w:rsidRDefault="00A946FC" w:rsidP="00A946FC">
      <w:pPr>
        <w:spacing w:line="360" w:lineRule="auto"/>
        <w:rPr>
          <w:rFonts w:asciiTheme="minorHAnsi" w:hAnsiTheme="minorHAnsi" w:cstheme="minorHAnsi"/>
        </w:rPr>
      </w:pPr>
      <w:r>
        <w:rPr>
          <w:rFonts w:asciiTheme="minorHAnsi" w:hAnsiTheme="minorHAnsi" w:cstheme="minorHAnsi"/>
        </w:rPr>
        <w:t>KAP A</w:t>
      </w:r>
      <w:r w:rsidRPr="0002052C">
        <w:rPr>
          <w:rFonts w:asciiTheme="minorHAnsi" w:hAnsiTheme="minorHAnsi" w:cstheme="minorHAnsi"/>
        </w:rPr>
        <w:t>telier</w:t>
      </w:r>
      <w:r>
        <w:rPr>
          <w:rFonts w:asciiTheme="minorHAnsi" w:hAnsiTheme="minorHAnsi" w:cstheme="minorHAnsi"/>
        </w:rPr>
        <w:t xml:space="preserve"> s. r. o.</w:t>
      </w:r>
    </w:p>
    <w:p w:rsidR="00A946FC" w:rsidRPr="0002052C" w:rsidRDefault="00206086" w:rsidP="00A946FC">
      <w:pPr>
        <w:spacing w:line="360" w:lineRule="auto"/>
        <w:rPr>
          <w:rFonts w:asciiTheme="minorHAnsi" w:hAnsiTheme="minorHAnsi" w:cstheme="minorHAnsi"/>
        </w:rPr>
      </w:pPr>
      <w:r>
        <w:rPr>
          <w:rFonts w:asciiTheme="minorHAnsi" w:hAnsiTheme="minorHAnsi" w:cstheme="minorHAnsi"/>
        </w:rPr>
        <w:t>Prusíkova 2577/16</w:t>
      </w:r>
      <w:r w:rsidR="00A946FC">
        <w:rPr>
          <w:rFonts w:asciiTheme="minorHAnsi" w:hAnsiTheme="minorHAnsi" w:cstheme="minorHAnsi"/>
        </w:rPr>
        <w:t>; 1</w:t>
      </w:r>
      <w:r>
        <w:rPr>
          <w:rFonts w:asciiTheme="minorHAnsi" w:hAnsiTheme="minorHAnsi" w:cstheme="minorHAnsi"/>
        </w:rPr>
        <w:t>55</w:t>
      </w:r>
      <w:r w:rsidR="00A946FC">
        <w:rPr>
          <w:rFonts w:asciiTheme="minorHAnsi" w:hAnsiTheme="minorHAnsi" w:cstheme="minorHAnsi"/>
        </w:rPr>
        <w:t xml:space="preserve"> 00 Praha </w:t>
      </w:r>
    </w:p>
    <w:p w:rsidR="00A946FC" w:rsidRPr="0002052C" w:rsidRDefault="00A946FC" w:rsidP="00A946FC">
      <w:pPr>
        <w:spacing w:line="360" w:lineRule="auto"/>
        <w:rPr>
          <w:rFonts w:asciiTheme="minorHAnsi" w:hAnsiTheme="minorHAnsi" w:cstheme="minorHAnsi"/>
        </w:rPr>
      </w:pPr>
      <w:r w:rsidRPr="0002052C">
        <w:rPr>
          <w:rFonts w:asciiTheme="minorHAnsi" w:hAnsiTheme="minorHAnsi" w:cstheme="minorHAnsi"/>
        </w:rPr>
        <w:t>tel. / fax: 474 652 962, 777 290 173</w:t>
      </w:r>
    </w:p>
    <w:p w:rsidR="00A946FC" w:rsidRPr="0002052C" w:rsidRDefault="00A946FC" w:rsidP="00A946FC">
      <w:pPr>
        <w:spacing w:line="360" w:lineRule="auto"/>
        <w:rPr>
          <w:rFonts w:asciiTheme="minorHAnsi" w:hAnsiTheme="minorHAnsi" w:cstheme="minorHAnsi"/>
        </w:rPr>
      </w:pPr>
      <w:r w:rsidRPr="0002052C">
        <w:rPr>
          <w:rFonts w:asciiTheme="minorHAnsi" w:hAnsiTheme="minorHAnsi" w:cstheme="minorHAnsi"/>
        </w:rPr>
        <w:t xml:space="preserve">e-mail: </w:t>
      </w:r>
      <w:r>
        <w:rPr>
          <w:rFonts w:asciiTheme="minorHAnsi" w:hAnsiTheme="minorHAnsi" w:cstheme="minorHAnsi"/>
        </w:rPr>
        <w:t>ryskova</w:t>
      </w:r>
      <w:r w:rsidRPr="0002052C">
        <w:rPr>
          <w:rFonts w:asciiTheme="minorHAnsi" w:hAnsiTheme="minorHAnsi" w:cstheme="minorHAnsi"/>
        </w:rPr>
        <w:t>@kapatelier.cz</w:t>
      </w:r>
    </w:p>
    <w:p w:rsidR="00A946FC" w:rsidRDefault="00A946FC" w:rsidP="00A946FC">
      <w:pPr>
        <w:spacing w:line="360" w:lineRule="auto"/>
        <w:rPr>
          <w:rFonts w:asciiTheme="minorHAnsi" w:hAnsiTheme="minorHAnsi" w:cstheme="minorHAnsi"/>
        </w:rPr>
      </w:pPr>
      <w:r>
        <w:rPr>
          <w:rFonts w:asciiTheme="minorHAnsi" w:hAnsiTheme="minorHAnsi" w:cstheme="minorHAnsi"/>
        </w:rPr>
        <w:t>web</w:t>
      </w:r>
      <w:r w:rsidRPr="0002052C">
        <w:rPr>
          <w:rFonts w:asciiTheme="minorHAnsi" w:hAnsiTheme="minorHAnsi" w:cstheme="minorHAnsi"/>
        </w:rPr>
        <w:t xml:space="preserve">: </w:t>
      </w:r>
      <w:hyperlink r:id="rId8" w:history="1">
        <w:r w:rsidRPr="00266E0A">
          <w:rPr>
            <w:rStyle w:val="Hypertextovodkaz"/>
            <w:rFonts w:asciiTheme="minorHAnsi" w:hAnsiTheme="minorHAnsi" w:cstheme="minorHAnsi"/>
          </w:rPr>
          <w:t>www.kapatelier.cz</w:t>
        </w:r>
      </w:hyperlink>
    </w:p>
    <w:p w:rsidR="00A946FC" w:rsidRPr="005342F6" w:rsidRDefault="00A946FC" w:rsidP="00A946FC">
      <w:pPr>
        <w:spacing w:line="360" w:lineRule="auto"/>
        <w:rPr>
          <w:rFonts w:asciiTheme="minorHAnsi" w:hAnsiTheme="minorHAnsi" w:cstheme="minorHAnsi"/>
        </w:rPr>
      </w:pPr>
    </w:p>
    <w:p w:rsidR="00A946FC" w:rsidRPr="001F1762" w:rsidRDefault="00A946FC" w:rsidP="00A946FC">
      <w:pPr>
        <w:pStyle w:val="Nadpis1"/>
        <w:numPr>
          <w:ilvl w:val="2"/>
          <w:numId w:val="2"/>
        </w:numPr>
        <w:spacing w:before="0" w:after="0" w:line="360" w:lineRule="auto"/>
        <w:ind w:left="568" w:hanging="284"/>
        <w:rPr>
          <w:rFonts w:asciiTheme="minorHAnsi" w:hAnsiTheme="minorHAnsi"/>
          <w:color w:val="7F7F7F" w:themeColor="text1" w:themeTint="80"/>
        </w:rPr>
      </w:pPr>
      <w:bookmarkStart w:id="42" w:name="_Toc366131771"/>
      <w:bookmarkStart w:id="43" w:name="_Toc366132477"/>
      <w:bookmarkStart w:id="44" w:name="_Toc366132551"/>
      <w:bookmarkStart w:id="45" w:name="_Toc366132623"/>
      <w:bookmarkStart w:id="46" w:name="_Toc424649209"/>
      <w:r w:rsidRPr="001F1762">
        <w:rPr>
          <w:rFonts w:asciiTheme="minorHAnsi" w:hAnsiTheme="minorHAnsi"/>
          <w:color w:val="7F7F7F" w:themeColor="text1" w:themeTint="80"/>
        </w:rPr>
        <w:t>Jméno a příjmení hlavního projektanta, vč. čísla autorizace, s vyznačeným oborem</w:t>
      </w:r>
      <w:bookmarkEnd w:id="42"/>
      <w:bookmarkEnd w:id="43"/>
      <w:bookmarkEnd w:id="44"/>
      <w:bookmarkEnd w:id="45"/>
      <w:bookmarkEnd w:id="46"/>
    </w:p>
    <w:p w:rsidR="00A946FC" w:rsidRDefault="00A946FC" w:rsidP="00A946FC">
      <w:pPr>
        <w:spacing w:line="360" w:lineRule="auto"/>
        <w:rPr>
          <w:rFonts w:asciiTheme="minorHAnsi" w:hAnsiTheme="minorHAnsi" w:cstheme="minorHAnsi"/>
        </w:rPr>
        <w:sectPr w:rsidR="00A946FC" w:rsidSect="00A946FC">
          <w:headerReference w:type="default" r:id="rId9"/>
          <w:footerReference w:type="default" r:id="rId10"/>
          <w:type w:val="continuous"/>
          <w:pgSz w:w="11907" w:h="16840" w:code="9"/>
          <w:pgMar w:top="2410" w:right="1418" w:bottom="1418" w:left="1418" w:header="709" w:footer="709" w:gutter="0"/>
          <w:pgNumType w:fmt="numberInDash"/>
          <w:cols w:space="709"/>
          <w:docGrid w:linePitch="360"/>
        </w:sectPr>
      </w:pPr>
    </w:p>
    <w:p w:rsidR="00A946FC" w:rsidRDefault="000209CB" w:rsidP="00A946FC">
      <w:pPr>
        <w:spacing w:line="360" w:lineRule="auto"/>
        <w:rPr>
          <w:rFonts w:asciiTheme="minorHAnsi" w:hAnsiTheme="minorHAnsi" w:cstheme="minorHAnsi"/>
        </w:rPr>
      </w:pPr>
      <w:r>
        <w:rPr>
          <w:rFonts w:asciiTheme="minorHAnsi" w:hAnsiTheme="minorHAnsi" w:cstheme="minorHAnsi"/>
        </w:rPr>
        <w:t xml:space="preserve">Ing. </w:t>
      </w:r>
      <w:r w:rsidR="00A946FC">
        <w:rPr>
          <w:rFonts w:asciiTheme="minorHAnsi" w:hAnsiTheme="minorHAnsi" w:cstheme="minorHAnsi"/>
        </w:rPr>
        <w:t>Marie Rysková, autorizace č. 0401531</w:t>
      </w:r>
    </w:p>
    <w:p w:rsidR="00A946FC" w:rsidRPr="0002052C" w:rsidRDefault="00A946FC" w:rsidP="00A946FC">
      <w:pPr>
        <w:spacing w:line="360" w:lineRule="auto"/>
        <w:rPr>
          <w:rFonts w:asciiTheme="minorHAnsi" w:hAnsiTheme="minorHAnsi" w:cstheme="minorHAnsi"/>
        </w:rPr>
      </w:pPr>
      <w:r>
        <w:rPr>
          <w:rFonts w:asciiTheme="minorHAnsi" w:hAnsiTheme="minorHAnsi" w:cstheme="minorHAnsi"/>
        </w:rPr>
        <w:t>KAP A</w:t>
      </w:r>
      <w:r w:rsidRPr="0002052C">
        <w:rPr>
          <w:rFonts w:asciiTheme="minorHAnsi" w:hAnsiTheme="minorHAnsi" w:cstheme="minorHAnsi"/>
        </w:rPr>
        <w:t>telier</w:t>
      </w:r>
      <w:r>
        <w:rPr>
          <w:rFonts w:asciiTheme="minorHAnsi" w:hAnsiTheme="minorHAnsi" w:cstheme="minorHAnsi"/>
        </w:rPr>
        <w:t xml:space="preserve"> s. r. o.</w:t>
      </w:r>
    </w:p>
    <w:p w:rsidR="00A946FC" w:rsidRPr="005342F6" w:rsidRDefault="00A946FC" w:rsidP="00A946FC">
      <w:pPr>
        <w:spacing w:line="360" w:lineRule="auto"/>
        <w:rPr>
          <w:rFonts w:asciiTheme="minorHAnsi" w:hAnsiTheme="minorHAnsi" w:cstheme="minorHAnsi"/>
        </w:rPr>
      </w:pPr>
    </w:p>
    <w:p w:rsidR="00A946FC" w:rsidRPr="001F1762" w:rsidRDefault="00A946FC" w:rsidP="00A946FC">
      <w:pPr>
        <w:pStyle w:val="Nadpis1"/>
        <w:numPr>
          <w:ilvl w:val="2"/>
          <w:numId w:val="2"/>
        </w:numPr>
        <w:spacing w:before="0" w:after="0" w:line="360" w:lineRule="auto"/>
        <w:ind w:left="568" w:hanging="284"/>
        <w:rPr>
          <w:rFonts w:asciiTheme="minorHAnsi" w:hAnsiTheme="minorHAnsi"/>
          <w:color w:val="7F7F7F" w:themeColor="text1" w:themeTint="80"/>
        </w:rPr>
      </w:pPr>
      <w:bookmarkStart w:id="47" w:name="_Toc366131772"/>
      <w:bookmarkStart w:id="48" w:name="_Toc366132478"/>
      <w:bookmarkStart w:id="49" w:name="_Toc366132552"/>
      <w:bookmarkStart w:id="50" w:name="_Toc366132624"/>
      <w:bookmarkStart w:id="51" w:name="_Toc424649210"/>
      <w:r w:rsidRPr="001F1762">
        <w:rPr>
          <w:rFonts w:asciiTheme="minorHAnsi" w:hAnsiTheme="minorHAnsi"/>
          <w:color w:val="7F7F7F" w:themeColor="text1" w:themeTint="80"/>
        </w:rPr>
        <w:t>Jména a příjmení projektantů jednotlivých částí dokumentace</w:t>
      </w:r>
      <w:bookmarkEnd w:id="47"/>
      <w:bookmarkEnd w:id="48"/>
      <w:bookmarkEnd w:id="49"/>
      <w:bookmarkEnd w:id="50"/>
      <w:bookmarkEnd w:id="51"/>
    </w:p>
    <w:p w:rsidR="00F40D61" w:rsidRPr="00F40D61" w:rsidRDefault="00F40D61" w:rsidP="00F40D61">
      <w:pPr>
        <w:spacing w:line="360" w:lineRule="auto"/>
        <w:rPr>
          <w:rFonts w:asciiTheme="minorHAnsi" w:hAnsiTheme="minorHAnsi" w:cstheme="minorHAnsi"/>
        </w:rPr>
      </w:pPr>
      <w:r w:rsidRPr="00F40D61">
        <w:rPr>
          <w:rFonts w:asciiTheme="minorHAnsi" w:hAnsiTheme="minorHAnsi" w:cstheme="minorHAnsi"/>
        </w:rPr>
        <w:t>Komunikace - Ing. Marie Rysková, KAP atelier</w:t>
      </w:r>
    </w:p>
    <w:p w:rsidR="00CC56E5" w:rsidRDefault="00CC56E5" w:rsidP="00F51E04">
      <w:pPr>
        <w:spacing w:line="360" w:lineRule="auto"/>
        <w:rPr>
          <w:rFonts w:asciiTheme="minorHAnsi" w:hAnsiTheme="minorHAnsi" w:cstheme="minorHAnsi"/>
        </w:rPr>
      </w:pPr>
    </w:p>
    <w:p w:rsidR="000209CB" w:rsidRDefault="000209CB" w:rsidP="00F51E04">
      <w:pPr>
        <w:spacing w:line="360" w:lineRule="auto"/>
        <w:rPr>
          <w:rFonts w:asciiTheme="minorHAnsi" w:hAnsiTheme="minorHAnsi" w:cstheme="minorHAnsi"/>
        </w:rPr>
      </w:pPr>
    </w:p>
    <w:p w:rsidR="00CC56E5" w:rsidRDefault="00CC56E5" w:rsidP="00F51E04">
      <w:pPr>
        <w:spacing w:line="360" w:lineRule="auto"/>
        <w:rPr>
          <w:rFonts w:asciiTheme="minorHAnsi" w:hAnsiTheme="minorHAnsi" w:cstheme="minorHAnsi"/>
        </w:rPr>
      </w:pPr>
    </w:p>
    <w:p w:rsidR="00AA7230" w:rsidRPr="00AA7230" w:rsidRDefault="00FB454D" w:rsidP="007852E1">
      <w:pPr>
        <w:pStyle w:val="Nadpis1"/>
        <w:numPr>
          <w:ilvl w:val="0"/>
          <w:numId w:val="0"/>
        </w:numPr>
        <w:spacing w:before="0" w:after="0" w:line="360" w:lineRule="auto"/>
        <w:ind w:left="360" w:hanging="360"/>
        <w:jc w:val="both"/>
        <w:rPr>
          <w:rFonts w:asciiTheme="minorHAnsi" w:hAnsiTheme="minorHAnsi" w:cstheme="minorHAnsi"/>
          <w:szCs w:val="20"/>
        </w:rPr>
      </w:pPr>
      <w:r>
        <w:rPr>
          <w:rFonts w:asciiTheme="minorHAnsi" w:hAnsiTheme="minorHAnsi" w:cstheme="minorHAnsi"/>
          <w:szCs w:val="20"/>
        </w:rPr>
        <w:lastRenderedPageBreak/>
        <w:t>B</w:t>
      </w:r>
      <w:r w:rsidR="00AA7230" w:rsidRPr="00AA7230">
        <w:rPr>
          <w:rFonts w:asciiTheme="minorHAnsi" w:hAnsiTheme="minorHAnsi" w:cstheme="minorHAnsi"/>
          <w:szCs w:val="20"/>
        </w:rPr>
        <w:t xml:space="preserve">) </w:t>
      </w:r>
      <w:r w:rsidR="00AA7230">
        <w:rPr>
          <w:rFonts w:asciiTheme="minorHAnsi" w:hAnsiTheme="minorHAnsi" w:cstheme="minorHAnsi"/>
          <w:szCs w:val="20"/>
        </w:rPr>
        <w:t>STRUČNÝ TECHNICKÝ POPIS SE ZDŮVODNĚNÍM NAVRŽENÉHO ŘEŠENÍ</w:t>
      </w:r>
    </w:p>
    <w:p w:rsidR="00DA6F2E" w:rsidRDefault="00DA6F2E" w:rsidP="00E5658C">
      <w:pPr>
        <w:spacing w:line="360" w:lineRule="auto"/>
        <w:jc w:val="both"/>
        <w:rPr>
          <w:rFonts w:asciiTheme="minorHAnsi" w:hAnsiTheme="minorHAnsi" w:cstheme="minorHAnsi"/>
        </w:rPr>
      </w:pPr>
      <w:r>
        <w:rPr>
          <w:rFonts w:asciiTheme="minorHAnsi" w:hAnsiTheme="minorHAnsi" w:cstheme="minorHAnsi"/>
        </w:rPr>
        <w:t>Dokumentace</w:t>
      </w:r>
      <w:r w:rsidR="00F42F06">
        <w:rPr>
          <w:rFonts w:asciiTheme="minorHAnsi" w:hAnsiTheme="minorHAnsi" w:cstheme="minorHAnsi"/>
        </w:rPr>
        <w:t xml:space="preserve"> řeší obnovu povrchu stávající živičné vozovky a přilehlého chodníku v ulici Pod Strážištěm v úseku od křižovatky s ulicí </w:t>
      </w:r>
      <w:proofErr w:type="spellStart"/>
      <w:r w:rsidR="00F42F06">
        <w:rPr>
          <w:rFonts w:asciiTheme="minorHAnsi" w:hAnsiTheme="minorHAnsi" w:cstheme="minorHAnsi"/>
        </w:rPr>
        <w:t>Březenecká</w:t>
      </w:r>
      <w:proofErr w:type="spellEnd"/>
      <w:r w:rsidR="00F42F06">
        <w:rPr>
          <w:rFonts w:asciiTheme="minorHAnsi" w:hAnsiTheme="minorHAnsi" w:cstheme="minorHAnsi"/>
        </w:rPr>
        <w:t xml:space="preserve"> ke křížení s ulicí Blatenská</w:t>
      </w:r>
      <w:r w:rsidR="008511E5">
        <w:rPr>
          <w:rFonts w:asciiTheme="minorHAnsi" w:hAnsiTheme="minorHAnsi" w:cstheme="minorHAnsi"/>
        </w:rPr>
        <w:t>.</w:t>
      </w:r>
      <w:r>
        <w:rPr>
          <w:rFonts w:asciiTheme="minorHAnsi" w:hAnsiTheme="minorHAnsi" w:cstheme="minorHAnsi"/>
        </w:rPr>
        <w:t xml:space="preserve"> </w:t>
      </w:r>
      <w:r w:rsidR="00C2417B">
        <w:rPr>
          <w:rFonts w:asciiTheme="minorHAnsi" w:hAnsiTheme="minorHAnsi" w:cstheme="minorHAnsi"/>
        </w:rPr>
        <w:t xml:space="preserve">Rekonstrukce bude provedena v rozsahu stávajících zpevněných ploch. </w:t>
      </w:r>
    </w:p>
    <w:p w:rsidR="008511E5" w:rsidRDefault="008511E5" w:rsidP="00E5658C">
      <w:pPr>
        <w:spacing w:line="360" w:lineRule="auto"/>
        <w:jc w:val="both"/>
        <w:rPr>
          <w:rFonts w:asciiTheme="minorHAnsi" w:hAnsiTheme="minorHAnsi" w:cstheme="minorHAnsi"/>
        </w:rPr>
      </w:pPr>
    </w:p>
    <w:p w:rsidR="00B91401" w:rsidRDefault="008511E5" w:rsidP="00F42F06">
      <w:pPr>
        <w:spacing w:line="360" w:lineRule="auto"/>
        <w:jc w:val="both"/>
        <w:rPr>
          <w:rFonts w:asciiTheme="minorHAnsi" w:hAnsiTheme="minorHAnsi" w:cstheme="minorHAnsi"/>
        </w:rPr>
      </w:pPr>
      <w:r>
        <w:rPr>
          <w:rFonts w:asciiTheme="minorHAnsi" w:hAnsiTheme="minorHAnsi" w:cstheme="minorHAnsi"/>
        </w:rPr>
        <w:t xml:space="preserve">Stavbou budou dotčeny </w:t>
      </w:r>
      <w:r w:rsidR="009965B5">
        <w:rPr>
          <w:rFonts w:asciiTheme="minorHAnsi" w:hAnsiTheme="minorHAnsi" w:cstheme="minorHAnsi"/>
        </w:rPr>
        <w:t xml:space="preserve">tyto parcely: </w:t>
      </w:r>
    </w:p>
    <w:tbl>
      <w:tblPr>
        <w:tblW w:w="8360" w:type="dxa"/>
        <w:tblInd w:w="55" w:type="dxa"/>
        <w:tblCellMar>
          <w:left w:w="70" w:type="dxa"/>
          <w:right w:w="70" w:type="dxa"/>
        </w:tblCellMar>
        <w:tblLook w:val="04A0" w:firstRow="1" w:lastRow="0" w:firstColumn="1" w:lastColumn="0" w:noHBand="0" w:noVBand="1"/>
      </w:tblPr>
      <w:tblGrid>
        <w:gridCol w:w="1260"/>
        <w:gridCol w:w="3200"/>
        <w:gridCol w:w="1240"/>
        <w:gridCol w:w="2660"/>
      </w:tblGrid>
      <w:tr w:rsidR="00F42F06" w:rsidRPr="00F42F06" w:rsidTr="00F42F06">
        <w:trPr>
          <w:trHeight w:val="315"/>
        </w:trPr>
        <w:tc>
          <w:tcPr>
            <w:tcW w:w="1260" w:type="dxa"/>
            <w:tcBorders>
              <w:top w:val="single" w:sz="8" w:space="0" w:color="auto"/>
              <w:left w:val="nil"/>
              <w:bottom w:val="single" w:sz="8" w:space="0" w:color="auto"/>
              <w:right w:val="nil"/>
            </w:tcBorders>
            <w:shd w:val="clear" w:color="auto" w:fill="auto"/>
            <w:noWrap/>
            <w:vAlign w:val="bottom"/>
            <w:hideMark/>
          </w:tcPr>
          <w:p w:rsidR="00F42F06" w:rsidRPr="00F42F06" w:rsidRDefault="00F42F06" w:rsidP="00F42F06">
            <w:pPr>
              <w:jc w:val="center"/>
              <w:rPr>
                <w:rFonts w:ascii="Calibri" w:hAnsi="Calibri" w:cs="Calibri"/>
                <w:b/>
                <w:bCs/>
                <w:color w:val="000000"/>
                <w:sz w:val="22"/>
                <w:szCs w:val="22"/>
              </w:rPr>
            </w:pPr>
            <w:r w:rsidRPr="00F42F06">
              <w:rPr>
                <w:rFonts w:ascii="Calibri" w:hAnsi="Calibri" w:cs="Calibri"/>
                <w:b/>
                <w:bCs/>
                <w:color w:val="000000"/>
                <w:sz w:val="22"/>
                <w:szCs w:val="22"/>
              </w:rPr>
              <w:t>Číslo parcely</w:t>
            </w:r>
          </w:p>
        </w:tc>
        <w:tc>
          <w:tcPr>
            <w:tcW w:w="3200" w:type="dxa"/>
            <w:tcBorders>
              <w:top w:val="single" w:sz="8" w:space="0" w:color="auto"/>
              <w:left w:val="nil"/>
              <w:bottom w:val="single" w:sz="8" w:space="0" w:color="auto"/>
              <w:right w:val="nil"/>
            </w:tcBorders>
            <w:shd w:val="clear" w:color="auto" w:fill="auto"/>
            <w:noWrap/>
            <w:vAlign w:val="bottom"/>
            <w:hideMark/>
          </w:tcPr>
          <w:p w:rsidR="00F42F06" w:rsidRPr="00F42F06" w:rsidRDefault="00F42F06" w:rsidP="00F42F06">
            <w:pPr>
              <w:rPr>
                <w:rFonts w:ascii="Calibri" w:hAnsi="Calibri" w:cs="Calibri"/>
                <w:b/>
                <w:bCs/>
                <w:color w:val="000000"/>
                <w:sz w:val="22"/>
                <w:szCs w:val="22"/>
              </w:rPr>
            </w:pPr>
            <w:r w:rsidRPr="00F42F06">
              <w:rPr>
                <w:rFonts w:ascii="Calibri" w:hAnsi="Calibri" w:cs="Calibri"/>
                <w:b/>
                <w:bCs/>
                <w:color w:val="000000"/>
                <w:sz w:val="22"/>
                <w:szCs w:val="22"/>
              </w:rPr>
              <w:t>Vlastnické právo</w:t>
            </w:r>
          </w:p>
        </w:tc>
        <w:tc>
          <w:tcPr>
            <w:tcW w:w="1240" w:type="dxa"/>
            <w:tcBorders>
              <w:top w:val="single" w:sz="8" w:space="0" w:color="auto"/>
              <w:left w:val="double" w:sz="6" w:space="0" w:color="auto"/>
              <w:bottom w:val="single" w:sz="8" w:space="0" w:color="auto"/>
              <w:right w:val="nil"/>
            </w:tcBorders>
            <w:shd w:val="clear" w:color="auto" w:fill="auto"/>
            <w:noWrap/>
            <w:vAlign w:val="bottom"/>
            <w:hideMark/>
          </w:tcPr>
          <w:p w:rsidR="00F42F06" w:rsidRPr="00F42F06" w:rsidRDefault="00F42F06" w:rsidP="00F42F06">
            <w:pPr>
              <w:jc w:val="center"/>
              <w:rPr>
                <w:rFonts w:ascii="Calibri" w:hAnsi="Calibri" w:cs="Calibri"/>
                <w:b/>
                <w:bCs/>
                <w:color w:val="000000"/>
                <w:sz w:val="22"/>
                <w:szCs w:val="22"/>
              </w:rPr>
            </w:pPr>
            <w:r w:rsidRPr="00F42F06">
              <w:rPr>
                <w:rFonts w:ascii="Calibri" w:hAnsi="Calibri" w:cs="Calibri"/>
                <w:b/>
                <w:bCs/>
                <w:color w:val="000000"/>
                <w:sz w:val="22"/>
                <w:szCs w:val="22"/>
              </w:rPr>
              <w:t>Číslo parcely</w:t>
            </w:r>
          </w:p>
        </w:tc>
        <w:tc>
          <w:tcPr>
            <w:tcW w:w="2660" w:type="dxa"/>
            <w:tcBorders>
              <w:top w:val="single" w:sz="8" w:space="0" w:color="auto"/>
              <w:left w:val="nil"/>
              <w:bottom w:val="single" w:sz="8" w:space="0" w:color="auto"/>
              <w:right w:val="nil"/>
            </w:tcBorders>
            <w:shd w:val="clear" w:color="auto" w:fill="auto"/>
            <w:noWrap/>
            <w:vAlign w:val="bottom"/>
            <w:hideMark/>
          </w:tcPr>
          <w:p w:rsidR="00F42F06" w:rsidRPr="00F42F06" w:rsidRDefault="00F42F06" w:rsidP="00F42F06">
            <w:pPr>
              <w:rPr>
                <w:rFonts w:ascii="Calibri" w:hAnsi="Calibri" w:cs="Calibri"/>
                <w:b/>
                <w:bCs/>
                <w:color w:val="000000"/>
                <w:sz w:val="22"/>
                <w:szCs w:val="22"/>
              </w:rPr>
            </w:pPr>
            <w:r w:rsidRPr="00F42F06">
              <w:rPr>
                <w:rFonts w:ascii="Calibri" w:hAnsi="Calibri" w:cs="Calibri"/>
                <w:b/>
                <w:bCs/>
                <w:color w:val="000000"/>
                <w:sz w:val="22"/>
                <w:szCs w:val="22"/>
              </w:rPr>
              <w:t>Vlastnické právo</w:t>
            </w:r>
          </w:p>
        </w:tc>
      </w:tr>
      <w:tr w:rsidR="00F42F06" w:rsidRPr="00F42F06" w:rsidTr="00F42F06">
        <w:trPr>
          <w:trHeight w:val="315"/>
        </w:trPr>
        <w:tc>
          <w:tcPr>
            <w:tcW w:w="1260" w:type="dxa"/>
            <w:tcBorders>
              <w:top w:val="nil"/>
              <w:left w:val="nil"/>
              <w:bottom w:val="single" w:sz="8" w:space="0" w:color="auto"/>
              <w:right w:val="nil"/>
            </w:tcBorders>
            <w:shd w:val="clear" w:color="000000" w:fill="DAEEF3"/>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4860/1</w:t>
            </w:r>
          </w:p>
        </w:tc>
        <w:tc>
          <w:tcPr>
            <w:tcW w:w="3200" w:type="dxa"/>
            <w:tcBorders>
              <w:top w:val="nil"/>
              <w:left w:val="nil"/>
              <w:bottom w:val="single" w:sz="8" w:space="0" w:color="auto"/>
              <w:right w:val="nil"/>
            </w:tcBorders>
            <w:shd w:val="clear" w:color="000000" w:fill="DAEEF3"/>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Povodí Ohře, státní podnik</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4927/5</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FDDFC7"/>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4902/2</w:t>
            </w:r>
          </w:p>
        </w:tc>
        <w:tc>
          <w:tcPr>
            <w:tcW w:w="3200" w:type="dxa"/>
            <w:tcBorders>
              <w:top w:val="nil"/>
              <w:left w:val="nil"/>
              <w:bottom w:val="single" w:sz="8" w:space="0" w:color="auto"/>
              <w:right w:val="nil"/>
            </w:tcBorders>
            <w:shd w:val="clear" w:color="000000" w:fill="FDDFC7"/>
            <w:noWrap/>
            <w:vAlign w:val="bottom"/>
            <w:hideMark/>
          </w:tcPr>
          <w:p w:rsidR="00F42F06" w:rsidRPr="00F42F06" w:rsidRDefault="00E42AD4" w:rsidP="00F42F06">
            <w:pPr>
              <w:rPr>
                <w:rFonts w:ascii="Calibri" w:hAnsi="Calibri" w:cs="Calibri"/>
                <w:color w:val="000000"/>
                <w:sz w:val="22"/>
                <w:szCs w:val="22"/>
              </w:rPr>
            </w:pPr>
            <w:r>
              <w:rPr>
                <w:rFonts w:ascii="Calibri" w:hAnsi="Calibri" w:cs="Calibri"/>
                <w:color w:val="000000"/>
                <w:sz w:val="22"/>
                <w:szCs w:val="22"/>
              </w:rPr>
              <w:t>LIDL ČR V.O.S.</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4914/3</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FDDFC7"/>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4901/24</w:t>
            </w:r>
          </w:p>
        </w:tc>
        <w:tc>
          <w:tcPr>
            <w:tcW w:w="3200" w:type="dxa"/>
            <w:tcBorders>
              <w:top w:val="nil"/>
              <w:left w:val="nil"/>
              <w:bottom w:val="single" w:sz="8" w:space="0" w:color="auto"/>
              <w:right w:val="nil"/>
            </w:tcBorders>
            <w:shd w:val="clear" w:color="000000" w:fill="FDDFC7"/>
            <w:noWrap/>
            <w:vAlign w:val="bottom"/>
            <w:hideMark/>
          </w:tcPr>
          <w:p w:rsidR="00F42F06" w:rsidRPr="00F42F06" w:rsidRDefault="00E42AD4" w:rsidP="00F42F06">
            <w:pPr>
              <w:rPr>
                <w:rFonts w:ascii="Calibri" w:hAnsi="Calibri" w:cs="Calibri"/>
                <w:color w:val="000000"/>
                <w:sz w:val="22"/>
                <w:szCs w:val="22"/>
              </w:rPr>
            </w:pPr>
            <w:r>
              <w:rPr>
                <w:rFonts w:ascii="Calibri" w:hAnsi="Calibri" w:cs="Calibri"/>
                <w:color w:val="000000"/>
                <w:sz w:val="22"/>
                <w:szCs w:val="22"/>
              </w:rPr>
              <w:t>LIDL ČR V.O.S.</w:t>
            </w:r>
            <w:bookmarkStart w:id="52" w:name="_GoBack"/>
            <w:bookmarkEnd w:id="52"/>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4918</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585"/>
        </w:trPr>
        <w:tc>
          <w:tcPr>
            <w:tcW w:w="1260" w:type="dxa"/>
            <w:tcBorders>
              <w:top w:val="nil"/>
              <w:left w:val="nil"/>
              <w:bottom w:val="single" w:sz="8" w:space="0" w:color="auto"/>
              <w:right w:val="nil"/>
            </w:tcBorders>
            <w:shd w:val="clear" w:color="000000" w:fill="FFFF00"/>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4993/1</w:t>
            </w:r>
          </w:p>
        </w:tc>
        <w:tc>
          <w:tcPr>
            <w:tcW w:w="3200" w:type="dxa"/>
            <w:tcBorders>
              <w:top w:val="nil"/>
              <w:left w:val="nil"/>
              <w:bottom w:val="single" w:sz="8" w:space="0" w:color="auto"/>
              <w:right w:val="nil"/>
            </w:tcBorders>
            <w:shd w:val="clear" w:color="000000" w:fill="FFFF00"/>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 xml:space="preserve">Správa a údržba silnic Ústeckého kraje, příspěvková </w:t>
            </w:r>
            <w:proofErr w:type="spellStart"/>
            <w:r w:rsidRPr="00F42F06">
              <w:rPr>
                <w:rFonts w:ascii="Calibri" w:hAnsi="Calibri" w:cs="Calibri"/>
                <w:color w:val="000000"/>
                <w:sz w:val="22"/>
                <w:szCs w:val="22"/>
              </w:rPr>
              <w:t>org</w:t>
            </w:r>
            <w:proofErr w:type="spellEnd"/>
            <w:r w:rsidRPr="00F42F06">
              <w:rPr>
                <w:rFonts w:ascii="Calibri" w:hAnsi="Calibri" w:cs="Calibri"/>
                <w:color w:val="000000"/>
                <w:sz w:val="22"/>
                <w:szCs w:val="22"/>
              </w:rPr>
              <w:t>.</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4923/1</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4865/148</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4950/3</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4865/132</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4948/2</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4865/50</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4928/1</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4865/65</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4928/3</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4897/1</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4927/10</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4897/3</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4927/1</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4897/2</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4927/6</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4865/49</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4927/4</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4901/13</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4927/5</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4901/14</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4964/12</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4898/1</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4927/12</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4898/2</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4926/4</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4912/153</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4927/3</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4912/150</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4929/2</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4982/1</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4930/2</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4912/1</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4930/1</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315"/>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4914/1</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5304/4</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r w:rsidR="00F42F06" w:rsidRPr="00F42F06" w:rsidTr="00F42F06">
        <w:trPr>
          <w:trHeight w:val="50"/>
        </w:trPr>
        <w:tc>
          <w:tcPr>
            <w:tcW w:w="12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4912/151</w:t>
            </w:r>
          </w:p>
        </w:tc>
        <w:tc>
          <w:tcPr>
            <w:tcW w:w="320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5313/3</w:t>
            </w:r>
          </w:p>
        </w:tc>
        <w:tc>
          <w:tcPr>
            <w:tcW w:w="2660" w:type="dxa"/>
            <w:tcBorders>
              <w:top w:val="nil"/>
              <w:left w:val="nil"/>
              <w:bottom w:val="single" w:sz="8" w:space="0" w:color="auto"/>
              <w:right w:val="nil"/>
            </w:tcBorders>
            <w:shd w:val="clear" w:color="000000" w:fill="D8FCDA"/>
            <w:noWrap/>
            <w:vAlign w:val="bottom"/>
            <w:hideMark/>
          </w:tcPr>
          <w:p w:rsidR="00F42F06" w:rsidRPr="00F42F06" w:rsidRDefault="00F42F06" w:rsidP="00F42F06">
            <w:pPr>
              <w:rPr>
                <w:rFonts w:ascii="Calibri" w:hAnsi="Calibri" w:cs="Calibri"/>
                <w:color w:val="000000"/>
                <w:sz w:val="22"/>
                <w:szCs w:val="22"/>
              </w:rPr>
            </w:pPr>
            <w:r w:rsidRPr="00F42F06">
              <w:rPr>
                <w:rFonts w:ascii="Calibri" w:hAnsi="Calibri" w:cs="Calibri"/>
                <w:color w:val="000000"/>
                <w:sz w:val="22"/>
                <w:szCs w:val="22"/>
              </w:rPr>
              <w:t>Statutární město Chomutov</w:t>
            </w:r>
          </w:p>
        </w:tc>
      </w:tr>
    </w:tbl>
    <w:p w:rsidR="008511E5" w:rsidRDefault="008511E5" w:rsidP="00E5658C">
      <w:pPr>
        <w:spacing w:line="360" w:lineRule="auto"/>
        <w:jc w:val="both"/>
        <w:rPr>
          <w:rFonts w:asciiTheme="minorHAnsi" w:hAnsiTheme="minorHAnsi"/>
        </w:rPr>
      </w:pPr>
    </w:p>
    <w:p w:rsidR="00E5658C" w:rsidRDefault="00E5658C" w:rsidP="00F40D61">
      <w:pPr>
        <w:spacing w:line="360" w:lineRule="auto"/>
        <w:jc w:val="both"/>
        <w:rPr>
          <w:rFonts w:asciiTheme="minorHAnsi" w:hAnsiTheme="minorHAnsi"/>
        </w:rPr>
      </w:pPr>
    </w:p>
    <w:p w:rsidR="00F42F06" w:rsidRDefault="00F42F06" w:rsidP="00F40D61">
      <w:pPr>
        <w:spacing w:line="360" w:lineRule="auto"/>
        <w:jc w:val="both"/>
        <w:rPr>
          <w:rFonts w:asciiTheme="minorHAnsi" w:hAnsiTheme="minorHAnsi"/>
        </w:rPr>
      </w:pPr>
    </w:p>
    <w:p w:rsidR="00F42F06" w:rsidRDefault="00F42F06" w:rsidP="00F40D61">
      <w:pPr>
        <w:spacing w:line="360" w:lineRule="auto"/>
        <w:jc w:val="both"/>
        <w:rPr>
          <w:rFonts w:asciiTheme="minorHAnsi" w:hAnsiTheme="minorHAnsi"/>
        </w:rPr>
      </w:pPr>
    </w:p>
    <w:p w:rsidR="00F42F06" w:rsidRDefault="00F42F06" w:rsidP="00F40D61">
      <w:pPr>
        <w:spacing w:line="360" w:lineRule="auto"/>
        <w:jc w:val="both"/>
        <w:rPr>
          <w:rFonts w:asciiTheme="minorHAnsi" w:hAnsiTheme="minorHAnsi"/>
        </w:rPr>
      </w:pPr>
    </w:p>
    <w:p w:rsidR="00F42F06" w:rsidRDefault="00F42F06" w:rsidP="00F40D61">
      <w:pPr>
        <w:spacing w:line="360" w:lineRule="auto"/>
        <w:jc w:val="both"/>
        <w:rPr>
          <w:rFonts w:asciiTheme="minorHAnsi" w:hAnsiTheme="minorHAnsi"/>
        </w:rPr>
      </w:pPr>
    </w:p>
    <w:p w:rsidR="00F42F06" w:rsidRDefault="00F42F06" w:rsidP="00F40D61">
      <w:pPr>
        <w:spacing w:line="360" w:lineRule="auto"/>
        <w:jc w:val="both"/>
        <w:rPr>
          <w:rFonts w:asciiTheme="minorHAnsi" w:hAnsiTheme="minorHAnsi"/>
        </w:rPr>
      </w:pPr>
    </w:p>
    <w:p w:rsidR="00F42F06" w:rsidRDefault="00F42F06" w:rsidP="00F40D61">
      <w:pPr>
        <w:spacing w:line="360" w:lineRule="auto"/>
        <w:jc w:val="both"/>
        <w:rPr>
          <w:rFonts w:asciiTheme="minorHAnsi" w:hAnsiTheme="minorHAnsi"/>
        </w:rPr>
      </w:pPr>
    </w:p>
    <w:p w:rsidR="00E5658C" w:rsidRDefault="00E5658C" w:rsidP="00F40D61">
      <w:pPr>
        <w:spacing w:line="360" w:lineRule="auto"/>
        <w:jc w:val="both"/>
        <w:rPr>
          <w:rFonts w:asciiTheme="minorHAnsi" w:hAnsiTheme="minorHAnsi"/>
        </w:rPr>
      </w:pPr>
    </w:p>
    <w:p w:rsidR="00AA7230" w:rsidRPr="007852E1" w:rsidRDefault="00FB454D" w:rsidP="007852E1">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C</w:t>
      </w:r>
      <w:r w:rsidR="007852E1" w:rsidRPr="007852E1">
        <w:rPr>
          <w:rFonts w:asciiTheme="minorHAnsi" w:hAnsiTheme="minorHAnsi" w:cstheme="minorHAnsi"/>
          <w:b/>
          <w:bCs/>
          <w:kern w:val="32"/>
          <w:sz w:val="20"/>
        </w:rPr>
        <w:t xml:space="preserve">) </w:t>
      </w:r>
      <w:r w:rsidR="00FF0DE1">
        <w:rPr>
          <w:rFonts w:asciiTheme="minorHAnsi" w:hAnsiTheme="minorHAnsi" w:cstheme="minorHAnsi"/>
          <w:b/>
          <w:bCs/>
          <w:kern w:val="32"/>
          <w:sz w:val="20"/>
        </w:rPr>
        <w:t>VYHODNOCENÍ PRŮZKUMŮ A PODKLADŮ, VČETNĚ JEJICH UŽITÍ V DOKUMENTACI</w:t>
      </w:r>
      <w:r w:rsidR="00AA7230" w:rsidRPr="007852E1">
        <w:rPr>
          <w:rFonts w:asciiTheme="minorHAnsi" w:hAnsiTheme="minorHAnsi" w:cstheme="minorHAnsi"/>
          <w:b/>
          <w:bCs/>
          <w:kern w:val="32"/>
          <w:sz w:val="20"/>
        </w:rPr>
        <w:t xml:space="preserve">    </w:t>
      </w:r>
    </w:p>
    <w:p w:rsidR="00AA7230" w:rsidRPr="007852E1" w:rsidRDefault="00AA7230" w:rsidP="007852E1">
      <w:pPr>
        <w:spacing w:line="360" w:lineRule="auto"/>
        <w:jc w:val="both"/>
        <w:rPr>
          <w:rFonts w:asciiTheme="minorHAnsi" w:hAnsiTheme="minorHAnsi"/>
        </w:rPr>
      </w:pPr>
      <w:r w:rsidRPr="007852E1">
        <w:rPr>
          <w:rFonts w:asciiTheme="minorHAnsi" w:hAnsiTheme="minorHAnsi"/>
        </w:rPr>
        <w:t>Použité podklady:</w:t>
      </w:r>
    </w:p>
    <w:p w:rsidR="00AA7230" w:rsidRPr="007852E1" w:rsidRDefault="00AA7230" w:rsidP="007852E1">
      <w:pPr>
        <w:spacing w:line="360" w:lineRule="auto"/>
        <w:jc w:val="both"/>
        <w:rPr>
          <w:rFonts w:asciiTheme="minorHAnsi" w:hAnsiTheme="minorHAnsi"/>
        </w:rPr>
      </w:pPr>
      <w:r w:rsidRPr="007852E1">
        <w:rPr>
          <w:rFonts w:asciiTheme="minorHAnsi" w:hAnsiTheme="minorHAnsi"/>
        </w:rPr>
        <w:t>- polohopisné a výškopisné zaměření stávajícího stavu</w:t>
      </w:r>
    </w:p>
    <w:p w:rsidR="00AA7230" w:rsidRPr="007852E1" w:rsidRDefault="00AA7230" w:rsidP="007852E1">
      <w:pPr>
        <w:spacing w:line="360" w:lineRule="auto"/>
        <w:jc w:val="both"/>
        <w:rPr>
          <w:rFonts w:asciiTheme="minorHAnsi" w:hAnsiTheme="minorHAnsi"/>
        </w:rPr>
      </w:pPr>
      <w:r w:rsidRPr="007852E1">
        <w:rPr>
          <w:rFonts w:asciiTheme="minorHAnsi" w:hAnsiTheme="minorHAnsi"/>
        </w:rPr>
        <w:t>- katastrální mapa</w:t>
      </w:r>
    </w:p>
    <w:p w:rsidR="00680E7F" w:rsidRDefault="00680E7F" w:rsidP="007852E1">
      <w:pPr>
        <w:spacing w:line="360" w:lineRule="auto"/>
        <w:jc w:val="both"/>
        <w:rPr>
          <w:rFonts w:asciiTheme="minorHAnsi" w:hAnsiTheme="minorHAnsi"/>
        </w:rPr>
      </w:pPr>
      <w:r>
        <w:rPr>
          <w:rFonts w:asciiTheme="minorHAnsi" w:hAnsiTheme="minorHAnsi"/>
        </w:rPr>
        <w:t>- zákres inženýrských sítí</w:t>
      </w:r>
    </w:p>
    <w:p w:rsidR="00AA7230" w:rsidRPr="007852E1" w:rsidRDefault="00680E7F" w:rsidP="007852E1">
      <w:pPr>
        <w:spacing w:line="360" w:lineRule="auto"/>
        <w:jc w:val="both"/>
        <w:rPr>
          <w:rFonts w:asciiTheme="minorHAnsi" w:hAnsiTheme="minorHAnsi"/>
        </w:rPr>
      </w:pPr>
      <w:r w:rsidRPr="007852E1">
        <w:rPr>
          <w:rFonts w:asciiTheme="minorHAnsi" w:hAnsiTheme="minorHAnsi"/>
        </w:rPr>
        <w:t xml:space="preserve"> </w:t>
      </w:r>
      <w:r w:rsidR="00AA7230" w:rsidRPr="007852E1">
        <w:rPr>
          <w:rFonts w:asciiTheme="minorHAnsi" w:hAnsiTheme="minorHAnsi"/>
        </w:rPr>
        <w:t>- prohlídka terénu</w:t>
      </w:r>
    </w:p>
    <w:p w:rsidR="00AA7230" w:rsidRDefault="00AA7230" w:rsidP="007852E1">
      <w:pPr>
        <w:spacing w:line="360" w:lineRule="auto"/>
        <w:jc w:val="both"/>
        <w:rPr>
          <w:rFonts w:asciiTheme="minorHAnsi" w:hAnsiTheme="minorHAnsi"/>
        </w:rPr>
      </w:pPr>
      <w:r w:rsidRPr="007852E1">
        <w:rPr>
          <w:rFonts w:asciiTheme="minorHAnsi" w:hAnsiTheme="minorHAnsi"/>
        </w:rPr>
        <w:t xml:space="preserve">- konzultace s investorem a budoucím provozovatelem </w:t>
      </w:r>
      <w:r w:rsidR="007852E1">
        <w:rPr>
          <w:rFonts w:asciiTheme="minorHAnsi" w:hAnsiTheme="minorHAnsi"/>
        </w:rPr>
        <w:t>stavby</w:t>
      </w:r>
    </w:p>
    <w:p w:rsidR="00F42F06" w:rsidRDefault="00F42F06" w:rsidP="007852E1">
      <w:pPr>
        <w:spacing w:line="360" w:lineRule="auto"/>
        <w:jc w:val="both"/>
        <w:rPr>
          <w:rFonts w:asciiTheme="minorHAnsi" w:hAnsiTheme="minorHAnsi"/>
        </w:rPr>
      </w:pPr>
      <w:r>
        <w:rPr>
          <w:rFonts w:asciiTheme="minorHAnsi" w:hAnsiTheme="minorHAnsi"/>
        </w:rPr>
        <w:t>- diagnostický průzkum asfaltového souvrství – klasifikace PAU</w:t>
      </w:r>
    </w:p>
    <w:p w:rsidR="00B93D5C" w:rsidRDefault="00F42F06" w:rsidP="007852E1">
      <w:pPr>
        <w:spacing w:line="360" w:lineRule="auto"/>
        <w:jc w:val="both"/>
        <w:rPr>
          <w:rFonts w:asciiTheme="minorHAnsi" w:hAnsiTheme="minorHAnsi"/>
        </w:rPr>
      </w:pPr>
      <w:r>
        <w:rPr>
          <w:rFonts w:asciiTheme="minorHAnsi" w:hAnsiTheme="minorHAnsi"/>
        </w:rPr>
        <w:t>- diagnostický průzkum únosnosti vozovky a návrh řešení obnovy laboratoří VIAKONTROL s.r.o.</w:t>
      </w:r>
    </w:p>
    <w:p w:rsidR="00B93D5C" w:rsidRPr="007852E1" w:rsidRDefault="00B93D5C" w:rsidP="007852E1">
      <w:pPr>
        <w:spacing w:line="360" w:lineRule="auto"/>
        <w:jc w:val="both"/>
        <w:rPr>
          <w:rFonts w:asciiTheme="minorHAnsi" w:hAnsiTheme="minorHAnsi"/>
        </w:rPr>
      </w:pPr>
    </w:p>
    <w:p w:rsidR="00FF0DE1" w:rsidRPr="00FF0DE1" w:rsidRDefault="00FB454D" w:rsidP="00FF0DE1">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D</w:t>
      </w:r>
      <w:r w:rsidR="00FF0DE1" w:rsidRPr="00FF0DE1">
        <w:rPr>
          <w:rFonts w:asciiTheme="minorHAnsi" w:hAnsiTheme="minorHAnsi" w:cstheme="minorHAnsi"/>
          <w:b/>
          <w:bCs/>
          <w:kern w:val="32"/>
          <w:sz w:val="20"/>
        </w:rPr>
        <w:t xml:space="preserve">) </w:t>
      </w:r>
      <w:r w:rsidR="00FF0DE1">
        <w:rPr>
          <w:rFonts w:asciiTheme="minorHAnsi" w:hAnsiTheme="minorHAnsi" w:cstheme="minorHAnsi"/>
          <w:b/>
          <w:bCs/>
          <w:kern w:val="32"/>
          <w:sz w:val="20"/>
        </w:rPr>
        <w:t>VZTAHY POZEMNÍ KOMUNIKACE K OSTATNÍM OBJEKTŮM STAVBY</w:t>
      </w:r>
    </w:p>
    <w:p w:rsidR="00AE743D" w:rsidRDefault="00F42F06" w:rsidP="00FF0DE1">
      <w:pPr>
        <w:spacing w:line="360" w:lineRule="auto"/>
        <w:jc w:val="both"/>
        <w:rPr>
          <w:rFonts w:asciiTheme="minorHAnsi" w:hAnsiTheme="minorHAnsi"/>
        </w:rPr>
      </w:pPr>
      <w:r>
        <w:rPr>
          <w:rFonts w:asciiTheme="minorHAnsi" w:hAnsiTheme="minorHAnsi"/>
        </w:rPr>
        <w:t xml:space="preserve">Stavba je řešena samostatně, navazuje na předchozí etapu „Obnova vozovky v ulici </w:t>
      </w:r>
      <w:proofErr w:type="spellStart"/>
      <w:r>
        <w:rPr>
          <w:rFonts w:asciiTheme="minorHAnsi" w:hAnsiTheme="minorHAnsi"/>
        </w:rPr>
        <w:t>Březenecká</w:t>
      </w:r>
      <w:proofErr w:type="spellEnd"/>
      <w:r>
        <w:rPr>
          <w:rFonts w:asciiTheme="minorHAnsi" w:hAnsiTheme="minorHAnsi"/>
        </w:rPr>
        <w:t>“.</w:t>
      </w:r>
    </w:p>
    <w:p w:rsidR="005260B0" w:rsidRDefault="005260B0" w:rsidP="00FF0DE1">
      <w:pPr>
        <w:spacing w:line="360" w:lineRule="auto"/>
        <w:jc w:val="both"/>
        <w:rPr>
          <w:rFonts w:asciiTheme="minorHAnsi" w:hAnsiTheme="minorHAnsi"/>
        </w:rPr>
      </w:pPr>
    </w:p>
    <w:p w:rsidR="00AA7230" w:rsidRPr="00801791" w:rsidRDefault="00FB454D" w:rsidP="00801791">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E</w:t>
      </w:r>
      <w:r w:rsidR="00801791" w:rsidRPr="00801791">
        <w:rPr>
          <w:rFonts w:asciiTheme="minorHAnsi" w:hAnsiTheme="minorHAnsi" w:cstheme="minorHAnsi"/>
          <w:b/>
          <w:bCs/>
          <w:kern w:val="32"/>
          <w:sz w:val="20"/>
        </w:rPr>
        <w:t xml:space="preserve">) </w:t>
      </w:r>
      <w:r w:rsidR="00801791">
        <w:rPr>
          <w:rFonts w:asciiTheme="minorHAnsi" w:hAnsiTheme="minorHAnsi" w:cstheme="minorHAnsi"/>
          <w:b/>
          <w:bCs/>
          <w:kern w:val="32"/>
          <w:sz w:val="20"/>
        </w:rPr>
        <w:t>NÁVRH ZPEVNĚNÝCH PLOCH, VČETNĚ PŘÍPADNÝCH VÝPOČTŮ</w:t>
      </w:r>
    </w:p>
    <w:p w:rsidR="009B45F1" w:rsidRDefault="009B45F1" w:rsidP="009B45F1">
      <w:pPr>
        <w:pStyle w:val="cc"/>
        <w:spacing w:before="0" w:beforeAutospacing="0" w:after="0" w:afterAutospacing="0" w:line="360" w:lineRule="auto"/>
        <w:jc w:val="both"/>
        <w:rPr>
          <w:rFonts w:asciiTheme="minorHAnsi" w:hAnsiTheme="minorHAnsi" w:cs="Tahoma"/>
          <w:sz w:val="20"/>
          <w:szCs w:val="20"/>
        </w:rPr>
      </w:pPr>
    </w:p>
    <w:p w:rsidR="00C10BD1" w:rsidRPr="00C10BD1" w:rsidRDefault="00C10BD1" w:rsidP="00C10BD1">
      <w:pPr>
        <w:spacing w:line="360" w:lineRule="auto"/>
        <w:ind w:left="720"/>
        <w:jc w:val="both"/>
        <w:rPr>
          <w:rFonts w:ascii="Calibri" w:hAnsi="Calibri" w:cs="Calibri"/>
          <w:b/>
          <w:u w:val="single"/>
        </w:rPr>
      </w:pPr>
      <w:r w:rsidRPr="00C10BD1">
        <w:rPr>
          <w:rFonts w:ascii="Calibri" w:hAnsi="Calibri" w:cs="Calibri"/>
          <w:b/>
          <w:u w:val="single"/>
        </w:rPr>
        <w:t>BOURACÍ PRÁCE:</w:t>
      </w:r>
    </w:p>
    <w:p w:rsidR="00C10BD1" w:rsidRPr="00C10BD1" w:rsidRDefault="00C10BD1" w:rsidP="00C10BD1">
      <w:pPr>
        <w:spacing w:line="360" w:lineRule="auto"/>
        <w:ind w:left="709"/>
        <w:rPr>
          <w:rFonts w:ascii="Calibri" w:hAnsi="Calibri" w:cs="Calibri"/>
          <w:bCs/>
          <w:kern w:val="32"/>
        </w:rPr>
      </w:pPr>
      <w:r w:rsidRPr="00C10BD1">
        <w:rPr>
          <w:rFonts w:ascii="Calibri" w:hAnsi="Calibri" w:cs="Calibri"/>
          <w:bCs/>
          <w:kern w:val="32"/>
        </w:rPr>
        <w:t>Jak již bylo zmíněno, jedná so obnovu stávající vozovky a chodníku. Budou prováděny následující práce:</w:t>
      </w:r>
    </w:p>
    <w:p w:rsidR="00C10BD1" w:rsidRPr="00C10BD1" w:rsidRDefault="00C10BD1" w:rsidP="00C10BD1">
      <w:pPr>
        <w:spacing w:line="360" w:lineRule="auto"/>
        <w:ind w:left="709"/>
        <w:jc w:val="both"/>
        <w:rPr>
          <w:rFonts w:ascii="Calibri" w:hAnsi="Calibri" w:cs="Calibri"/>
          <w:b/>
          <w:bCs/>
          <w:color w:val="FF0000"/>
          <w:kern w:val="32"/>
        </w:rPr>
      </w:pPr>
      <w:r w:rsidRPr="00C10BD1">
        <w:rPr>
          <w:rFonts w:ascii="Calibri" w:hAnsi="Calibri" w:cs="Calibri"/>
          <w:bCs/>
          <w:kern w:val="32"/>
        </w:rPr>
        <w:t xml:space="preserve">Bude odfrézována stávající vozovka do hl. 120mm. Na mostě bude frézováno pouze do hl. 40mm! V předprojektové přípravě proběhl diagnostický průzkum PAU, výsledkem je, že asfalty v řešeném úseku spadají dle vyhlášky č. 130/2019 Sb. do kritéria, které splňuje </w:t>
      </w:r>
      <w:proofErr w:type="spellStart"/>
      <w:r w:rsidRPr="00C10BD1">
        <w:rPr>
          <w:rFonts w:ascii="Calibri" w:hAnsi="Calibri" w:cs="Calibri"/>
          <w:bCs/>
          <w:kern w:val="32"/>
        </w:rPr>
        <w:t>znovuvyužitelnost</w:t>
      </w:r>
      <w:proofErr w:type="spellEnd"/>
      <w:r w:rsidRPr="00C10BD1">
        <w:rPr>
          <w:rFonts w:ascii="Calibri" w:hAnsi="Calibri" w:cs="Calibri"/>
          <w:bCs/>
          <w:kern w:val="32"/>
        </w:rPr>
        <w:t xml:space="preserve"> a netvoří odpad, </w:t>
      </w:r>
      <w:r w:rsidRPr="00C10BD1">
        <w:rPr>
          <w:rFonts w:ascii="Calibri" w:hAnsi="Calibri" w:cs="Calibri"/>
          <w:b/>
          <w:bCs/>
          <w:kern w:val="32"/>
        </w:rPr>
        <w:t>skládkovné asfaltů tedy není součástí rozpočtu</w:t>
      </w:r>
      <w:r w:rsidRPr="00C10BD1">
        <w:rPr>
          <w:rFonts w:ascii="Calibri" w:hAnsi="Calibri" w:cs="Calibri"/>
          <w:bCs/>
          <w:kern w:val="32"/>
        </w:rPr>
        <w:t xml:space="preserve">. Bude provedena detailní prohlídka vyfrézovaného povrchu a posléze vymezeny plochy k sanaci, případné trhliny budou sanovány dle TP 115. Rozpočtována je rezerva 50% celkové plochy. Prohlídka bude provedena za účasti technika z laboratoře VIAKONTROL s.r.o., která zpracovala diagnostický posudek, případně jiného zkušeného pracovníka se zaměřením na skladbu vozovek. </w:t>
      </w:r>
      <w:r w:rsidRPr="00C10BD1">
        <w:rPr>
          <w:rFonts w:ascii="Calibri" w:hAnsi="Calibri" w:cs="Calibri"/>
          <w:b/>
          <w:bCs/>
          <w:color w:val="FF0000"/>
          <w:kern w:val="32"/>
        </w:rPr>
        <w:t>Následné práce budou odsouhlaseny objednatelem před započetím dalších stavebních činností!</w:t>
      </w:r>
    </w:p>
    <w:p w:rsidR="00C10BD1" w:rsidRPr="00C10BD1" w:rsidRDefault="00C10BD1" w:rsidP="00C10BD1">
      <w:pPr>
        <w:spacing w:line="360" w:lineRule="auto"/>
        <w:ind w:left="709"/>
        <w:jc w:val="both"/>
        <w:rPr>
          <w:rFonts w:ascii="Calibri" w:hAnsi="Calibri" w:cs="Calibri"/>
          <w:bCs/>
          <w:kern w:val="32"/>
        </w:rPr>
      </w:pPr>
      <w:r w:rsidRPr="00C10BD1">
        <w:rPr>
          <w:rFonts w:ascii="Calibri" w:hAnsi="Calibri" w:cs="Calibri"/>
          <w:bCs/>
          <w:kern w:val="32"/>
        </w:rPr>
        <w:t xml:space="preserve">V místech, kde bude navržena kompletní obnova konstrukce, budou odtěženy podkladní vrstvy do hloubky 500mm pod uvažovanou niveletu. Pod asfaltovým souvrstvím se nachází betonové desky SC, případně štěrky. U </w:t>
      </w:r>
      <w:proofErr w:type="spellStart"/>
      <w:r w:rsidRPr="00C10BD1">
        <w:rPr>
          <w:rFonts w:ascii="Calibri" w:hAnsi="Calibri" w:cs="Calibri"/>
          <w:b/>
          <w:bCs/>
          <w:kern w:val="32"/>
        </w:rPr>
        <w:t>štěrkodrtí</w:t>
      </w:r>
      <w:proofErr w:type="spellEnd"/>
      <w:r w:rsidRPr="00C10BD1">
        <w:rPr>
          <w:rFonts w:ascii="Calibri" w:hAnsi="Calibri" w:cs="Calibri"/>
          <w:b/>
          <w:bCs/>
          <w:kern w:val="32"/>
        </w:rPr>
        <w:t xml:space="preserve"> bude rozhodnuto </w:t>
      </w:r>
      <w:proofErr w:type="spellStart"/>
      <w:r w:rsidRPr="00C10BD1">
        <w:rPr>
          <w:rFonts w:ascii="Calibri" w:hAnsi="Calibri" w:cs="Calibri"/>
          <w:b/>
          <w:bCs/>
          <w:kern w:val="32"/>
        </w:rPr>
        <w:t>geotechnikem</w:t>
      </w:r>
      <w:proofErr w:type="spellEnd"/>
      <w:r w:rsidRPr="00C10BD1">
        <w:rPr>
          <w:rFonts w:ascii="Calibri" w:hAnsi="Calibri" w:cs="Calibri"/>
          <w:bCs/>
          <w:kern w:val="32"/>
        </w:rPr>
        <w:t xml:space="preserve">, zda jsou vhodné, případně podmínečně vhodné pro znovuvyužití. Vhodné materiály budou deponovány v místě stavby. </w:t>
      </w:r>
    </w:p>
    <w:p w:rsidR="00C10BD1" w:rsidRPr="00C10BD1" w:rsidRDefault="00C10BD1" w:rsidP="00C10BD1">
      <w:pPr>
        <w:spacing w:line="360" w:lineRule="auto"/>
        <w:ind w:left="709"/>
        <w:jc w:val="both"/>
        <w:rPr>
          <w:rFonts w:ascii="Calibri" w:hAnsi="Calibri" w:cs="Calibri"/>
          <w:bCs/>
          <w:kern w:val="32"/>
        </w:rPr>
      </w:pPr>
      <w:r w:rsidRPr="00C10BD1">
        <w:rPr>
          <w:rFonts w:ascii="Calibri" w:hAnsi="Calibri" w:cs="Calibri"/>
          <w:bCs/>
          <w:kern w:val="32"/>
        </w:rPr>
        <w:t>Souběžně s pracemi na vozovce budou odstraňovány stávající kamenné krajníky a to v celém rozsahu. Očištěné kamenné krajníky budou paletovány a sečteny a následně odvezeny do dvora TSMCH (U Větrného mlýna).</w:t>
      </w:r>
    </w:p>
    <w:p w:rsidR="00C10BD1" w:rsidRPr="00C10BD1" w:rsidRDefault="00C10BD1" w:rsidP="00C10BD1">
      <w:pPr>
        <w:spacing w:line="360" w:lineRule="auto"/>
        <w:ind w:left="709"/>
        <w:jc w:val="both"/>
        <w:rPr>
          <w:rFonts w:ascii="Calibri" w:hAnsi="Calibri" w:cs="Calibri"/>
          <w:bCs/>
          <w:kern w:val="32"/>
        </w:rPr>
      </w:pPr>
      <w:r w:rsidRPr="00C10BD1">
        <w:rPr>
          <w:rFonts w:ascii="Calibri" w:hAnsi="Calibri" w:cs="Calibri"/>
          <w:bCs/>
          <w:kern w:val="32"/>
        </w:rPr>
        <w:lastRenderedPageBreak/>
        <w:t xml:space="preserve">Součástí stavby je obnova i přilehlého chodníku. Uvažováno je odfrézování </w:t>
      </w:r>
      <w:proofErr w:type="spellStart"/>
      <w:r w:rsidRPr="00C10BD1">
        <w:rPr>
          <w:rFonts w:ascii="Calibri" w:hAnsi="Calibri" w:cs="Calibri"/>
          <w:bCs/>
          <w:kern w:val="32"/>
        </w:rPr>
        <w:t>tl</w:t>
      </w:r>
      <w:proofErr w:type="spellEnd"/>
      <w:r w:rsidRPr="00C10BD1">
        <w:rPr>
          <w:rFonts w:ascii="Calibri" w:hAnsi="Calibri" w:cs="Calibri"/>
          <w:bCs/>
          <w:kern w:val="32"/>
        </w:rPr>
        <w:t xml:space="preserve">. 50mm živice. Zde proběhne, stejně jako u vozovky, místní prohlídka a zhodnotí se stav podkladních vrstev, provedou se statické zatěžovací zkoušky (za sucha). V případě, že požadovaná únosnost nevyjde min. 50 </w:t>
      </w:r>
      <w:proofErr w:type="spellStart"/>
      <w:r w:rsidRPr="00C10BD1">
        <w:rPr>
          <w:rFonts w:ascii="Calibri" w:hAnsi="Calibri" w:cs="Calibri"/>
          <w:bCs/>
          <w:kern w:val="32"/>
        </w:rPr>
        <w:t>MPa</w:t>
      </w:r>
      <w:proofErr w:type="spellEnd"/>
      <w:r w:rsidRPr="00C10BD1">
        <w:rPr>
          <w:rFonts w:ascii="Calibri" w:hAnsi="Calibri" w:cs="Calibri"/>
          <w:bCs/>
          <w:kern w:val="32"/>
        </w:rPr>
        <w:t xml:space="preserve">, je nutné podklad sanovat v souladu s rozhodnutím technika z laboratoře, případně geotechnika. V rozpočtu je uvažována konstrukce </w:t>
      </w:r>
      <w:proofErr w:type="spellStart"/>
      <w:r w:rsidRPr="00C10BD1">
        <w:rPr>
          <w:rFonts w:ascii="Calibri" w:hAnsi="Calibri" w:cs="Calibri"/>
          <w:bCs/>
          <w:kern w:val="32"/>
        </w:rPr>
        <w:t>tl</w:t>
      </w:r>
      <w:proofErr w:type="spellEnd"/>
      <w:r w:rsidRPr="00C10BD1">
        <w:rPr>
          <w:rFonts w:ascii="Calibri" w:hAnsi="Calibri" w:cs="Calibri"/>
          <w:bCs/>
          <w:kern w:val="32"/>
        </w:rPr>
        <w:t xml:space="preserve">. 250mm v celé ploše chodníku. V místech sjezdů musí být únosnost pod živičnou vrstvou vyšší 60 </w:t>
      </w:r>
      <w:proofErr w:type="spellStart"/>
      <w:r w:rsidRPr="00C10BD1">
        <w:rPr>
          <w:rFonts w:ascii="Calibri" w:hAnsi="Calibri" w:cs="Calibri"/>
          <w:bCs/>
          <w:kern w:val="32"/>
        </w:rPr>
        <w:t>MPa</w:t>
      </w:r>
      <w:proofErr w:type="spellEnd"/>
      <w:r w:rsidRPr="00C10BD1">
        <w:rPr>
          <w:rFonts w:ascii="Calibri" w:hAnsi="Calibri" w:cs="Calibri"/>
          <w:bCs/>
          <w:kern w:val="32"/>
        </w:rPr>
        <w:t xml:space="preserve">, konstrukce je rovněž hlubší </w:t>
      </w:r>
      <w:proofErr w:type="spellStart"/>
      <w:r w:rsidRPr="00C10BD1">
        <w:rPr>
          <w:rFonts w:ascii="Calibri" w:hAnsi="Calibri" w:cs="Calibri"/>
          <w:bCs/>
          <w:kern w:val="32"/>
        </w:rPr>
        <w:t>tl</w:t>
      </w:r>
      <w:proofErr w:type="spellEnd"/>
      <w:r w:rsidRPr="00C10BD1">
        <w:rPr>
          <w:rFonts w:ascii="Calibri" w:hAnsi="Calibri" w:cs="Calibri"/>
          <w:bCs/>
          <w:kern w:val="32"/>
        </w:rPr>
        <w:t>. 300mm.</w:t>
      </w:r>
    </w:p>
    <w:p w:rsidR="00C10BD1" w:rsidRPr="00C10BD1" w:rsidRDefault="00C10BD1" w:rsidP="00C10BD1">
      <w:pPr>
        <w:spacing w:line="360" w:lineRule="auto"/>
        <w:ind w:left="709"/>
        <w:jc w:val="both"/>
        <w:rPr>
          <w:rFonts w:ascii="Calibri" w:hAnsi="Calibri" w:cs="Calibri"/>
          <w:bCs/>
          <w:kern w:val="32"/>
        </w:rPr>
      </w:pPr>
      <w:r w:rsidRPr="00C10BD1">
        <w:rPr>
          <w:rFonts w:ascii="Calibri" w:hAnsi="Calibri" w:cs="Calibri"/>
          <w:bCs/>
          <w:kern w:val="32"/>
        </w:rPr>
        <w:t xml:space="preserve">Na mostě bude stávající chodník bourán ručně tak, aby nebyly porušeny mostní římsy a podkladní hydroizolace. Na mostě bude obnoven pouze asfaltový povrch, podklad bude sanován. V tuto chvíli Projektant není schopen říci, co se nachází pod asfaltovým chodníkem, v rozpočtu bude rezervní položka na sanaci podkladu a obrubníků. </w:t>
      </w:r>
    </w:p>
    <w:p w:rsidR="00C10BD1" w:rsidRPr="00C10BD1" w:rsidRDefault="00C10BD1" w:rsidP="00C10BD1">
      <w:pPr>
        <w:spacing w:line="360" w:lineRule="auto"/>
        <w:jc w:val="both"/>
        <w:rPr>
          <w:rFonts w:ascii="Calibri" w:hAnsi="Calibri" w:cs="Calibri"/>
          <w:b/>
          <w:u w:val="single"/>
        </w:rPr>
      </w:pPr>
    </w:p>
    <w:p w:rsidR="00C10BD1" w:rsidRPr="00C10BD1" w:rsidRDefault="00C10BD1" w:rsidP="00C10BD1">
      <w:pPr>
        <w:spacing w:line="360" w:lineRule="auto"/>
        <w:ind w:left="360"/>
        <w:jc w:val="both"/>
        <w:rPr>
          <w:rFonts w:ascii="Calibri" w:hAnsi="Calibri" w:cs="Calibri"/>
          <w:b/>
          <w:u w:val="single"/>
        </w:rPr>
      </w:pPr>
      <w:r w:rsidRPr="00C10BD1">
        <w:rPr>
          <w:rFonts w:ascii="Calibri" w:hAnsi="Calibri" w:cs="Calibri"/>
          <w:b/>
          <w:u w:val="single"/>
        </w:rPr>
        <w:t>ZEMNÍ PRÁCE:</w:t>
      </w:r>
    </w:p>
    <w:p w:rsidR="00C10BD1" w:rsidRPr="00C10BD1" w:rsidRDefault="00C10BD1" w:rsidP="00C10BD1">
      <w:pPr>
        <w:spacing w:line="360" w:lineRule="auto"/>
        <w:ind w:left="360"/>
        <w:jc w:val="both"/>
        <w:rPr>
          <w:rFonts w:ascii="Calibri" w:hAnsi="Calibri"/>
        </w:rPr>
      </w:pPr>
      <w:r w:rsidRPr="00C10BD1">
        <w:rPr>
          <w:rFonts w:ascii="Calibri" w:hAnsi="Calibri"/>
        </w:rPr>
        <w:t>Zemní práce spočívají v případě sanací podkladních vrstev, viz vzorové řezy.</w:t>
      </w:r>
    </w:p>
    <w:p w:rsidR="00C10BD1" w:rsidRPr="00C10BD1" w:rsidRDefault="00C10BD1" w:rsidP="00C10BD1">
      <w:pPr>
        <w:spacing w:line="360" w:lineRule="auto"/>
        <w:ind w:left="360"/>
        <w:jc w:val="both"/>
        <w:rPr>
          <w:rFonts w:ascii="Calibri" w:hAnsi="Calibri"/>
        </w:rPr>
      </w:pPr>
    </w:p>
    <w:p w:rsidR="00C10BD1" w:rsidRPr="00C10BD1" w:rsidRDefault="00C10BD1" w:rsidP="00C10BD1">
      <w:pPr>
        <w:pBdr>
          <w:top w:val="single" w:sz="4" w:space="1" w:color="auto"/>
          <w:left w:val="single" w:sz="4" w:space="4" w:color="auto"/>
          <w:bottom w:val="single" w:sz="4" w:space="1" w:color="auto"/>
          <w:right w:val="single" w:sz="4" w:space="4" w:color="auto"/>
        </w:pBdr>
        <w:spacing w:line="360" w:lineRule="auto"/>
        <w:ind w:left="360"/>
        <w:jc w:val="both"/>
        <w:rPr>
          <w:rFonts w:ascii="Calibri" w:hAnsi="Calibri"/>
          <w:u w:val="single"/>
        </w:rPr>
      </w:pPr>
      <w:r w:rsidRPr="00C10BD1">
        <w:rPr>
          <w:rFonts w:ascii="Calibri" w:hAnsi="Calibri"/>
          <w:u w:val="single"/>
        </w:rPr>
        <w:t>Obnova vozovky: je uvažováno 50% plochy vozovky pouze odfrézování 120mm stávajícího asfaltu a 50% plochy kompletní konstrukce</w:t>
      </w:r>
    </w:p>
    <w:p w:rsidR="00C10BD1" w:rsidRPr="00C10BD1" w:rsidRDefault="00A800C8" w:rsidP="00C10BD1">
      <w:pPr>
        <w:pBdr>
          <w:top w:val="single" w:sz="4" w:space="1" w:color="auto"/>
          <w:left w:val="single" w:sz="4" w:space="4" w:color="auto"/>
          <w:bottom w:val="single" w:sz="4" w:space="1" w:color="auto"/>
          <w:right w:val="single" w:sz="4" w:space="4" w:color="auto"/>
        </w:pBdr>
        <w:spacing w:line="360" w:lineRule="auto"/>
        <w:ind w:left="360"/>
        <w:jc w:val="both"/>
        <w:rPr>
          <w:rFonts w:ascii="Calibri" w:hAnsi="Calibri"/>
        </w:rPr>
      </w:pPr>
      <w:r>
        <w:rPr>
          <w:rFonts w:ascii="Calibri" w:hAnsi="Calibri"/>
          <w:noProof/>
        </w:rPr>
        <w:drawing>
          <wp:inline distT="0" distB="0" distL="0" distR="0">
            <wp:extent cx="3019246" cy="986570"/>
            <wp:effectExtent l="0" t="0" r="0" b="444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LADBA A.JPG"/>
                    <pic:cNvPicPr/>
                  </pic:nvPicPr>
                  <pic:blipFill>
                    <a:blip r:embed="rId11">
                      <a:extLst>
                        <a:ext uri="{28A0092B-C50C-407E-A947-70E740481C1C}">
                          <a14:useLocalDpi xmlns:a14="http://schemas.microsoft.com/office/drawing/2010/main" val="0"/>
                        </a:ext>
                      </a:extLst>
                    </a:blip>
                    <a:stretch>
                      <a:fillRect/>
                    </a:stretch>
                  </pic:blipFill>
                  <pic:spPr>
                    <a:xfrm>
                      <a:off x="0" y="0"/>
                      <a:ext cx="3021212" cy="987212"/>
                    </a:xfrm>
                    <a:prstGeom prst="rect">
                      <a:avLst/>
                    </a:prstGeom>
                  </pic:spPr>
                </pic:pic>
              </a:graphicData>
            </a:graphic>
          </wp:inline>
        </w:drawing>
      </w:r>
    </w:p>
    <w:p w:rsidR="00C10BD1" w:rsidRPr="00C10BD1" w:rsidRDefault="00A800C8" w:rsidP="00C10BD1">
      <w:pPr>
        <w:pBdr>
          <w:top w:val="single" w:sz="4" w:space="1" w:color="auto"/>
          <w:left w:val="single" w:sz="4" w:space="4" w:color="auto"/>
          <w:bottom w:val="single" w:sz="4" w:space="1" w:color="auto"/>
          <w:right w:val="single" w:sz="4" w:space="4" w:color="auto"/>
        </w:pBdr>
        <w:spacing w:line="360" w:lineRule="auto"/>
        <w:ind w:left="360"/>
        <w:jc w:val="both"/>
        <w:rPr>
          <w:rFonts w:ascii="Calibri" w:hAnsi="Calibri"/>
        </w:rPr>
      </w:pPr>
      <w:r>
        <w:rPr>
          <w:rFonts w:ascii="Calibri" w:hAnsi="Calibri"/>
          <w:noProof/>
        </w:rPr>
        <w:drawing>
          <wp:inline distT="0" distB="0" distL="0" distR="0">
            <wp:extent cx="3700732" cy="1668634"/>
            <wp:effectExtent l="0" t="0" r="0" b="825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LADBA B.JPG"/>
                    <pic:cNvPicPr/>
                  </pic:nvPicPr>
                  <pic:blipFill>
                    <a:blip r:embed="rId12">
                      <a:extLst>
                        <a:ext uri="{28A0092B-C50C-407E-A947-70E740481C1C}">
                          <a14:useLocalDpi xmlns:a14="http://schemas.microsoft.com/office/drawing/2010/main" val="0"/>
                        </a:ext>
                      </a:extLst>
                    </a:blip>
                    <a:stretch>
                      <a:fillRect/>
                    </a:stretch>
                  </pic:blipFill>
                  <pic:spPr>
                    <a:xfrm>
                      <a:off x="0" y="0"/>
                      <a:ext cx="3701423" cy="1668945"/>
                    </a:xfrm>
                    <a:prstGeom prst="rect">
                      <a:avLst/>
                    </a:prstGeom>
                  </pic:spPr>
                </pic:pic>
              </a:graphicData>
            </a:graphic>
          </wp:inline>
        </w:drawing>
      </w:r>
    </w:p>
    <w:p w:rsidR="00C10BD1" w:rsidRPr="00C10BD1" w:rsidRDefault="00C10BD1" w:rsidP="00C10BD1">
      <w:pPr>
        <w:spacing w:line="360" w:lineRule="auto"/>
        <w:ind w:left="360"/>
        <w:jc w:val="both"/>
        <w:rPr>
          <w:rFonts w:ascii="Calibri" w:hAnsi="Calibri"/>
        </w:rPr>
      </w:pPr>
    </w:p>
    <w:p w:rsidR="00C10BD1" w:rsidRPr="00C10BD1" w:rsidRDefault="00C10BD1" w:rsidP="00C10BD1">
      <w:pPr>
        <w:pBdr>
          <w:top w:val="single" w:sz="4" w:space="1" w:color="auto"/>
          <w:left w:val="single" w:sz="4" w:space="4" w:color="auto"/>
          <w:bottom w:val="single" w:sz="4" w:space="1" w:color="auto"/>
          <w:right w:val="single" w:sz="4" w:space="4" w:color="auto"/>
        </w:pBdr>
        <w:spacing w:line="360" w:lineRule="auto"/>
        <w:ind w:left="360"/>
        <w:jc w:val="both"/>
        <w:rPr>
          <w:rFonts w:ascii="Calibri" w:hAnsi="Calibri"/>
          <w:u w:val="single"/>
        </w:rPr>
      </w:pPr>
      <w:r w:rsidRPr="00C10BD1">
        <w:rPr>
          <w:rFonts w:ascii="Calibri" w:hAnsi="Calibri"/>
          <w:u w:val="single"/>
        </w:rPr>
        <w:t>Obnova chodníku, v místech sjezdů bude vrstva ŠD navýšena o 50mm</w:t>
      </w:r>
    </w:p>
    <w:p w:rsidR="00C10BD1" w:rsidRPr="00C10BD1" w:rsidRDefault="00A800C8" w:rsidP="00C10BD1">
      <w:pPr>
        <w:pBdr>
          <w:top w:val="single" w:sz="4" w:space="1" w:color="auto"/>
          <w:left w:val="single" w:sz="4" w:space="4" w:color="auto"/>
          <w:bottom w:val="single" w:sz="4" w:space="1" w:color="auto"/>
          <w:right w:val="single" w:sz="4" w:space="4" w:color="auto"/>
        </w:pBdr>
        <w:spacing w:line="360" w:lineRule="auto"/>
        <w:ind w:left="360"/>
        <w:jc w:val="both"/>
        <w:rPr>
          <w:rFonts w:ascii="Calibri" w:hAnsi="Calibri"/>
        </w:rPr>
      </w:pPr>
      <w:r>
        <w:rPr>
          <w:rFonts w:ascii="Calibri" w:hAnsi="Calibri"/>
          <w:noProof/>
        </w:rPr>
        <w:drawing>
          <wp:inline distT="0" distB="0" distL="0" distR="0">
            <wp:extent cx="2656936" cy="1161901"/>
            <wp:effectExtent l="0" t="0" r="0" b="63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LADBA C.JPG"/>
                    <pic:cNvPicPr/>
                  </pic:nvPicPr>
                  <pic:blipFill>
                    <a:blip r:embed="rId13">
                      <a:extLst>
                        <a:ext uri="{28A0092B-C50C-407E-A947-70E740481C1C}">
                          <a14:useLocalDpi xmlns:a14="http://schemas.microsoft.com/office/drawing/2010/main" val="0"/>
                        </a:ext>
                      </a:extLst>
                    </a:blip>
                    <a:stretch>
                      <a:fillRect/>
                    </a:stretch>
                  </pic:blipFill>
                  <pic:spPr>
                    <a:xfrm>
                      <a:off x="0" y="0"/>
                      <a:ext cx="2657396" cy="1162102"/>
                    </a:xfrm>
                    <a:prstGeom prst="rect">
                      <a:avLst/>
                    </a:prstGeom>
                  </pic:spPr>
                </pic:pic>
              </a:graphicData>
            </a:graphic>
          </wp:inline>
        </w:drawing>
      </w:r>
    </w:p>
    <w:p w:rsidR="00C10BD1" w:rsidRPr="00C10BD1" w:rsidRDefault="00C10BD1" w:rsidP="00C10BD1">
      <w:pPr>
        <w:pBdr>
          <w:top w:val="single" w:sz="4" w:space="1" w:color="auto"/>
          <w:left w:val="single" w:sz="4" w:space="4" w:color="auto"/>
          <w:bottom w:val="single" w:sz="4" w:space="1" w:color="auto"/>
          <w:right w:val="single" w:sz="4" w:space="4" w:color="auto"/>
        </w:pBdr>
        <w:spacing w:line="360" w:lineRule="auto"/>
        <w:ind w:left="360"/>
        <w:jc w:val="both"/>
        <w:rPr>
          <w:rFonts w:ascii="Calibri" w:hAnsi="Calibri"/>
        </w:rPr>
      </w:pPr>
    </w:p>
    <w:p w:rsidR="00C10BD1" w:rsidRPr="00C10BD1" w:rsidRDefault="00A800C8" w:rsidP="00C10BD1">
      <w:pPr>
        <w:pBdr>
          <w:top w:val="single" w:sz="4" w:space="1" w:color="auto"/>
          <w:left w:val="single" w:sz="4" w:space="4" w:color="auto"/>
          <w:bottom w:val="single" w:sz="4" w:space="1" w:color="auto"/>
          <w:right w:val="single" w:sz="4" w:space="4" w:color="auto"/>
        </w:pBdr>
        <w:spacing w:line="360" w:lineRule="auto"/>
        <w:ind w:left="360"/>
        <w:jc w:val="both"/>
        <w:rPr>
          <w:rFonts w:ascii="Calibri" w:hAnsi="Calibri"/>
        </w:rPr>
      </w:pPr>
      <w:r>
        <w:rPr>
          <w:rFonts w:ascii="Calibri" w:hAnsi="Calibri"/>
          <w:noProof/>
        </w:rPr>
        <w:drawing>
          <wp:inline distT="0" distB="0" distL="0" distR="0">
            <wp:extent cx="2544793" cy="1071492"/>
            <wp:effectExtent l="0" t="0" r="8255"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LADBA D.JPG"/>
                    <pic:cNvPicPr/>
                  </pic:nvPicPr>
                  <pic:blipFill>
                    <a:blip r:embed="rId14">
                      <a:extLst>
                        <a:ext uri="{28A0092B-C50C-407E-A947-70E740481C1C}">
                          <a14:useLocalDpi xmlns:a14="http://schemas.microsoft.com/office/drawing/2010/main" val="0"/>
                        </a:ext>
                      </a:extLst>
                    </a:blip>
                    <a:stretch>
                      <a:fillRect/>
                    </a:stretch>
                  </pic:blipFill>
                  <pic:spPr>
                    <a:xfrm>
                      <a:off x="0" y="0"/>
                      <a:ext cx="2547621" cy="1072683"/>
                    </a:xfrm>
                    <a:prstGeom prst="rect">
                      <a:avLst/>
                    </a:prstGeom>
                  </pic:spPr>
                </pic:pic>
              </a:graphicData>
            </a:graphic>
          </wp:inline>
        </w:drawing>
      </w:r>
    </w:p>
    <w:p w:rsidR="00C10BD1" w:rsidRPr="00C10BD1" w:rsidRDefault="00C10BD1" w:rsidP="00C10BD1">
      <w:pPr>
        <w:spacing w:line="360" w:lineRule="auto"/>
        <w:ind w:left="360"/>
        <w:jc w:val="both"/>
        <w:rPr>
          <w:rFonts w:ascii="Calibri" w:hAnsi="Calibri"/>
          <w:u w:val="single"/>
        </w:rPr>
      </w:pPr>
    </w:p>
    <w:p w:rsidR="00C10BD1" w:rsidRPr="00C10BD1" w:rsidRDefault="00C10BD1" w:rsidP="00C10BD1">
      <w:pPr>
        <w:pBdr>
          <w:top w:val="single" w:sz="4" w:space="1" w:color="auto"/>
          <w:left w:val="single" w:sz="4" w:space="4" w:color="auto"/>
          <w:bottom w:val="single" w:sz="4" w:space="1" w:color="auto"/>
          <w:right w:val="single" w:sz="4" w:space="4" w:color="auto"/>
        </w:pBdr>
        <w:spacing w:line="360" w:lineRule="auto"/>
        <w:ind w:left="360"/>
        <w:jc w:val="both"/>
        <w:rPr>
          <w:rFonts w:ascii="Calibri" w:hAnsi="Calibri"/>
          <w:u w:val="single"/>
        </w:rPr>
      </w:pPr>
      <w:r w:rsidRPr="00C10BD1">
        <w:rPr>
          <w:rFonts w:ascii="Calibri" w:hAnsi="Calibri"/>
          <w:u w:val="single"/>
        </w:rPr>
        <w:t>Hmatné prvky v místech sjezdů</w:t>
      </w:r>
    </w:p>
    <w:p w:rsidR="00C10BD1" w:rsidRPr="00C10BD1" w:rsidRDefault="00A800C8" w:rsidP="00C10BD1">
      <w:pPr>
        <w:pBdr>
          <w:top w:val="single" w:sz="4" w:space="1" w:color="auto"/>
          <w:left w:val="single" w:sz="4" w:space="4" w:color="auto"/>
          <w:bottom w:val="single" w:sz="4" w:space="1" w:color="auto"/>
          <w:right w:val="single" w:sz="4" w:space="4" w:color="auto"/>
        </w:pBdr>
        <w:spacing w:line="360" w:lineRule="auto"/>
        <w:ind w:left="360"/>
        <w:jc w:val="both"/>
        <w:rPr>
          <w:rFonts w:ascii="Calibri" w:hAnsi="Calibri"/>
        </w:rPr>
      </w:pPr>
      <w:r>
        <w:rPr>
          <w:rFonts w:ascii="Calibri" w:hAnsi="Calibri"/>
          <w:noProof/>
        </w:rPr>
        <w:drawing>
          <wp:inline distT="0" distB="0" distL="0" distR="0">
            <wp:extent cx="2786332" cy="850479"/>
            <wp:effectExtent l="0" t="0" r="0" b="698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LADBA E.JPG"/>
                    <pic:cNvPicPr/>
                  </pic:nvPicPr>
                  <pic:blipFill>
                    <a:blip r:embed="rId15">
                      <a:extLst>
                        <a:ext uri="{28A0092B-C50C-407E-A947-70E740481C1C}">
                          <a14:useLocalDpi xmlns:a14="http://schemas.microsoft.com/office/drawing/2010/main" val="0"/>
                        </a:ext>
                      </a:extLst>
                    </a:blip>
                    <a:stretch>
                      <a:fillRect/>
                    </a:stretch>
                  </pic:blipFill>
                  <pic:spPr>
                    <a:xfrm>
                      <a:off x="0" y="0"/>
                      <a:ext cx="2785110" cy="850106"/>
                    </a:xfrm>
                    <a:prstGeom prst="rect">
                      <a:avLst/>
                    </a:prstGeom>
                  </pic:spPr>
                </pic:pic>
              </a:graphicData>
            </a:graphic>
          </wp:inline>
        </w:drawing>
      </w:r>
    </w:p>
    <w:p w:rsidR="00C10BD1" w:rsidRPr="00C10BD1" w:rsidRDefault="00C10BD1" w:rsidP="00C10BD1">
      <w:pPr>
        <w:spacing w:line="360" w:lineRule="auto"/>
        <w:ind w:left="360"/>
        <w:jc w:val="both"/>
        <w:rPr>
          <w:rFonts w:ascii="Calibri" w:hAnsi="Calibri"/>
        </w:rPr>
      </w:pPr>
    </w:p>
    <w:p w:rsidR="00C10BD1" w:rsidRPr="00C10BD1" w:rsidRDefault="00C10BD1" w:rsidP="00C10BD1">
      <w:pPr>
        <w:spacing w:line="360" w:lineRule="auto"/>
        <w:ind w:left="360"/>
        <w:jc w:val="both"/>
        <w:rPr>
          <w:rFonts w:ascii="Calibri" w:hAnsi="Calibri" w:cs="Calibri"/>
          <w:b/>
          <w:u w:val="single"/>
        </w:rPr>
      </w:pPr>
      <w:r w:rsidRPr="00C10BD1">
        <w:rPr>
          <w:rFonts w:ascii="Calibri" w:hAnsi="Calibri" w:cs="Calibri"/>
          <w:b/>
          <w:u w:val="single"/>
        </w:rPr>
        <w:t>OBNOVA VOZOVKY A CHODNÍKU:</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 xml:space="preserve">Niveleta vozovky zůstává neměnná, až na několik míst viz charakteristické řezy. Projekt respektuje stávající podélné a příčné sklony. Příčné sklony byly vyrovnány do jednotných jednostranných sklonů tak, aby byla respektována stávající niveleta a zároveň, aby se zvýšila výška odrazů silničních obrubníků. Primárně je uvažován nášlap + 15cm, nicméně projekt připouští rozmezí + 12 až + 15cm. Je zde tedy malá rezerva pro hýbání s příčným sklonem chodníku, který musí být v rozmezí 0,5 – 2,0% s klesáním k vozovce.  </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 xml:space="preserve">Podél vozovky budou osazeny betonové obrubníky 150 x 250 x 1000mm. </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 xml:space="preserve">Podél chodníku na vnější straně budou osazeny betonové obrubníky 80 x 200 x 1000mm s výškou odrazu + 6cm – vodící linie pro nevidomé. </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 xml:space="preserve">V místech sjezdů bude na vnější straně chodníku obrubník šíře 80mm zapuštěn na + 0cm, na vnitřní hraně bude snížený betonový silniční obrubník 150 x 150 x 1000mm. Snížená obruba naváže na klasické obruby tzv. přechodovými obrubami, které jsou zešikmené s výškou 150 – 250mm. U sjezdu, který je delší jak 8m, bude osazena vlnkovitá dlažba šíře 0,4m, která tvoří umělou vodící linii v prostoru se sníženou obrubou. </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 xml:space="preserve">V místech zastávek budou použity zastávkové obrubníky s výškou nášlapu +15 – 16cm. Tomu odpovídá obrubník například od </w:t>
      </w:r>
      <w:proofErr w:type="spellStart"/>
      <w:r w:rsidRPr="00C10BD1">
        <w:rPr>
          <w:rFonts w:ascii="Calibri" w:hAnsi="Calibri" w:cs="Calibri"/>
        </w:rPr>
        <w:t>BESTu</w:t>
      </w:r>
      <w:proofErr w:type="spellEnd"/>
      <w:r w:rsidRPr="00C10BD1">
        <w:rPr>
          <w:rFonts w:ascii="Calibri" w:hAnsi="Calibri" w:cs="Calibri"/>
        </w:rPr>
        <w:t xml:space="preserve"> výšky 290mm. Z těchto obrub budou tvořeny nástupní hrany. Nástupní hrany budou ukončeny přechodovými obrubníky, kterými se dostáváme průřezově na klasické silniční obrubníky. Pozor, </w:t>
      </w:r>
      <w:r w:rsidRPr="00C10BD1">
        <w:rPr>
          <w:rFonts w:ascii="Calibri" w:hAnsi="Calibri" w:cs="Calibri"/>
          <w:b/>
        </w:rPr>
        <w:t>v klínech zastávky budou silniční obrubníky sníženy na +11cm a pozvolna v celých délkách klínů vystoupány zpět na uvažovaných + 15cm</w:t>
      </w:r>
      <w:r w:rsidRPr="00C10BD1">
        <w:rPr>
          <w:rFonts w:ascii="Calibri" w:hAnsi="Calibri" w:cs="Calibri"/>
        </w:rPr>
        <w:t xml:space="preserve">. Detail je znázorněn ve vzorových řezech. Součástí zastávek jsou i nové hmatné a kontrastní prvky v souladu s vyhláškou č. 398/2009 Sb. Signální a kontrastní prvky jsou rovněž znázorněny ve vzorových řezech. Podél nástupní hrany budou osazeny pásy šíře 0,4m z červené HLADKÉ dlažby. Signální pás, který navádí nevidomé do dveří u řidiče, je odsazen od označníku cca 0,8m a je široký 0,8m. Signální pás je proveden, stejně jako u přechodů, z reliéfní červené dlažby. </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lastRenderedPageBreak/>
        <w:t xml:space="preserve">Součástí chodníků jsou hmatné prvky (varovné a signální pásy) z červené reliéfní dlažby </w:t>
      </w:r>
      <w:proofErr w:type="spellStart"/>
      <w:r w:rsidRPr="00C10BD1">
        <w:rPr>
          <w:rFonts w:ascii="Calibri" w:hAnsi="Calibri" w:cs="Calibri"/>
        </w:rPr>
        <w:t>tl</w:t>
      </w:r>
      <w:proofErr w:type="spellEnd"/>
      <w:r w:rsidRPr="00C10BD1">
        <w:rPr>
          <w:rFonts w:ascii="Calibri" w:hAnsi="Calibri" w:cs="Calibri"/>
        </w:rPr>
        <w:t xml:space="preserve">. 60mm. V místech sjezdů jsou varovné pásy z dlažby </w:t>
      </w:r>
      <w:proofErr w:type="spellStart"/>
      <w:r w:rsidRPr="00C10BD1">
        <w:rPr>
          <w:rFonts w:ascii="Calibri" w:hAnsi="Calibri" w:cs="Calibri"/>
        </w:rPr>
        <w:t>tl</w:t>
      </w:r>
      <w:proofErr w:type="spellEnd"/>
      <w:r w:rsidRPr="00C10BD1">
        <w:rPr>
          <w:rFonts w:ascii="Calibri" w:hAnsi="Calibri" w:cs="Calibri"/>
        </w:rPr>
        <w:t xml:space="preserve">. 80mm. Varovné pásy šíře 0,4m musejí vystoupat do výšky min. +8cm nad vozovkou. Signální pásy jsou široké 0,8m a musejí být rovnoběžné s přechody – místy pro přecházení – navádějí slepce na druhou stranu komunikace (ne do prostoru křižovatky a jiné, jak občas bývá zvykem!!!). Signální pásy mají mít délku alespoň dvojnásobek jeho šíře, ideálně 2m. </w:t>
      </w:r>
    </w:p>
    <w:p w:rsidR="00C10BD1" w:rsidRPr="00C10BD1" w:rsidRDefault="00C10BD1" w:rsidP="00C10BD1">
      <w:pPr>
        <w:spacing w:line="360" w:lineRule="auto"/>
        <w:ind w:left="360"/>
        <w:jc w:val="both"/>
        <w:rPr>
          <w:rFonts w:ascii="Calibri" w:hAnsi="Calibri" w:cs="Calibri"/>
        </w:rPr>
      </w:pPr>
    </w:p>
    <w:p w:rsidR="00C10BD1" w:rsidRPr="00C10BD1" w:rsidRDefault="00C10BD1" w:rsidP="00C10BD1">
      <w:pPr>
        <w:spacing w:line="360" w:lineRule="auto"/>
        <w:ind w:left="360"/>
        <w:jc w:val="both"/>
        <w:rPr>
          <w:rFonts w:ascii="Calibri" w:hAnsi="Calibri" w:cs="Calibri"/>
          <w:b/>
          <w:u w:val="single"/>
        </w:rPr>
      </w:pPr>
      <w:r w:rsidRPr="00C10BD1">
        <w:rPr>
          <w:rFonts w:ascii="Calibri" w:hAnsi="Calibri" w:cs="Calibri"/>
          <w:b/>
          <w:u w:val="single"/>
        </w:rPr>
        <w:t>ULIČNÍ PUSTI A ŠACHTY:</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 xml:space="preserve">V rozpočtu stavby je uvažováno výškové vyrovnání a případné posunutí uličních vpustí. </w:t>
      </w:r>
    </w:p>
    <w:p w:rsidR="00C10BD1" w:rsidRPr="00C10BD1" w:rsidRDefault="00C10BD1" w:rsidP="00C10BD1">
      <w:pPr>
        <w:spacing w:line="360" w:lineRule="auto"/>
        <w:ind w:left="360"/>
        <w:jc w:val="both"/>
        <w:rPr>
          <w:rFonts w:ascii="Calibri" w:hAnsi="Calibri" w:cs="Calibri"/>
        </w:rPr>
      </w:pP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Výškové vyrovnání</w:t>
      </w:r>
      <w:r w:rsidRPr="00C10BD1">
        <w:rPr>
          <w:rFonts w:ascii="Calibri" w:hAnsi="Calibri" w:cs="Calibri"/>
        </w:rPr>
        <w:tab/>
        <w:t>UV 1, 2, 3, 5, 6, 7, 8, 9, 10, 12, 14</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 xml:space="preserve">Posun </w:t>
      </w:r>
      <w:r w:rsidRPr="00C10BD1">
        <w:rPr>
          <w:rFonts w:ascii="Calibri" w:hAnsi="Calibri" w:cs="Calibri"/>
        </w:rPr>
        <w:tab/>
      </w:r>
      <w:r w:rsidRPr="00C10BD1">
        <w:rPr>
          <w:rFonts w:ascii="Calibri" w:hAnsi="Calibri" w:cs="Calibri"/>
        </w:rPr>
        <w:tab/>
        <w:t>UV 11, 13</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Zrušení UV</w:t>
      </w:r>
      <w:r w:rsidRPr="00C10BD1">
        <w:rPr>
          <w:rFonts w:ascii="Calibri" w:hAnsi="Calibri" w:cs="Calibri"/>
        </w:rPr>
        <w:tab/>
      </w:r>
      <w:r w:rsidRPr="00C10BD1">
        <w:rPr>
          <w:rFonts w:ascii="Calibri" w:hAnsi="Calibri" w:cs="Calibri"/>
        </w:rPr>
        <w:tab/>
      </w:r>
      <w:proofErr w:type="spellStart"/>
      <w:r w:rsidRPr="00C10BD1">
        <w:rPr>
          <w:rFonts w:ascii="Calibri" w:hAnsi="Calibri" w:cs="Calibri"/>
        </w:rPr>
        <w:t>UV</w:t>
      </w:r>
      <w:proofErr w:type="spellEnd"/>
      <w:r w:rsidRPr="00C10BD1">
        <w:rPr>
          <w:rFonts w:ascii="Calibri" w:hAnsi="Calibri" w:cs="Calibri"/>
        </w:rPr>
        <w:t xml:space="preserve"> 4</w:t>
      </w:r>
    </w:p>
    <w:p w:rsidR="00C10BD1" w:rsidRPr="00C10BD1" w:rsidRDefault="00C10BD1" w:rsidP="00C10BD1">
      <w:pPr>
        <w:spacing w:line="360" w:lineRule="auto"/>
        <w:ind w:left="360"/>
        <w:jc w:val="both"/>
        <w:rPr>
          <w:rFonts w:ascii="Calibri" w:hAnsi="Calibri" w:cs="Calibri"/>
        </w:rPr>
      </w:pP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 xml:space="preserve">V řešeném úseku se nachází velké množství kanalizačních šachet z důvodu dvou kanalizací – dešťová, jednotná, které vedou téměř v celém rozsahu pod vozovkou. Celkem se zde nachází 26 šachet, rozpočet počítá s výškovým vyrovnáním všech šachet. Je pravděpodobné, že nebude třeba vyrovnávat všechny šachty, je zde tedy rezerva. </w:t>
      </w:r>
    </w:p>
    <w:p w:rsidR="00C10BD1" w:rsidRPr="00C10BD1" w:rsidRDefault="00C10BD1" w:rsidP="00C10BD1">
      <w:pPr>
        <w:spacing w:line="360" w:lineRule="auto"/>
        <w:ind w:left="360"/>
        <w:jc w:val="both"/>
        <w:rPr>
          <w:rFonts w:ascii="Calibri" w:hAnsi="Calibri" w:cs="Calibri"/>
        </w:rPr>
      </w:pPr>
    </w:p>
    <w:p w:rsidR="00C10BD1" w:rsidRPr="00C10BD1" w:rsidRDefault="00C10BD1" w:rsidP="00C10BD1">
      <w:pPr>
        <w:spacing w:line="360" w:lineRule="auto"/>
        <w:ind w:left="360"/>
        <w:jc w:val="both"/>
        <w:rPr>
          <w:rFonts w:ascii="Calibri" w:hAnsi="Calibri" w:cs="Calibri"/>
          <w:b/>
          <w:u w:val="single"/>
        </w:rPr>
      </w:pPr>
      <w:r w:rsidRPr="00C10BD1">
        <w:rPr>
          <w:rFonts w:ascii="Calibri" w:hAnsi="Calibri" w:cs="Calibri"/>
          <w:b/>
          <w:u w:val="single"/>
        </w:rPr>
        <w:t>CHRÁNIČKY METROPOLITNÍ SITĚ MAN A VEŘEJNÉHO OSVĚTLENÍ:</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 xml:space="preserve">V rámci obnovy budou položeny nové chráničky pro budoucí rekonstrukci veřejného osvětlení a rozšíření metropolitní sítě – MAN. Bude položena jedna společná chránička </w:t>
      </w:r>
      <w:proofErr w:type="spellStart"/>
      <w:r w:rsidRPr="00C10BD1">
        <w:rPr>
          <w:rFonts w:ascii="Calibri" w:hAnsi="Calibri" w:cs="Calibri"/>
        </w:rPr>
        <w:t>Kopoflex</w:t>
      </w:r>
      <w:proofErr w:type="spellEnd"/>
      <w:r w:rsidRPr="00C10BD1">
        <w:rPr>
          <w:rFonts w:ascii="Calibri" w:hAnsi="Calibri" w:cs="Calibri"/>
        </w:rPr>
        <w:t xml:space="preserve"> KB 09110.  </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 xml:space="preserve">Ve směru od </w:t>
      </w:r>
      <w:proofErr w:type="spellStart"/>
      <w:r w:rsidRPr="00C10BD1">
        <w:rPr>
          <w:rFonts w:ascii="Calibri" w:hAnsi="Calibri" w:cs="Calibri"/>
        </w:rPr>
        <w:t>Březenecké</w:t>
      </w:r>
      <w:proofErr w:type="spellEnd"/>
      <w:r w:rsidRPr="00C10BD1">
        <w:rPr>
          <w:rFonts w:ascii="Calibri" w:hAnsi="Calibri" w:cs="Calibri"/>
        </w:rPr>
        <w:t xml:space="preserve">. Chránička bude položena podél vyměňované chodníkové obruby v hl. min. 0,35m k místě vjezdu ke </w:t>
      </w:r>
      <w:proofErr w:type="spellStart"/>
      <w:r w:rsidRPr="00C10BD1">
        <w:rPr>
          <w:rFonts w:ascii="Calibri" w:hAnsi="Calibri" w:cs="Calibri"/>
        </w:rPr>
        <w:t>zš</w:t>
      </w:r>
      <w:proofErr w:type="spellEnd"/>
      <w:r w:rsidRPr="00C10BD1">
        <w:rPr>
          <w:rFonts w:ascii="Calibri" w:hAnsi="Calibri" w:cs="Calibri"/>
        </w:rPr>
        <w:t xml:space="preserve">, zde bude chránička uložena min 1,0m pod niveletou vjezdu, poté opět podél chodníkové obruby až k římse mostu. Před mostem bude ve vozovce uložena další chránička pro VO. V místě mostu budou chráničky ukotveny z vnější strany římsy pomocí příchytek. Zde bude buď jedna HDPE trubka dl. 20m DN100, nebo dvě ocelové trubky DN 50. Nutno vyřešit přímo na místě se správcem VO Danielem Hurníkem a technikem IT Martinem Kunzem. Dále povedou chráničky podél chodníkové obruby až k místu, kde bude nový překop vozovky na druhou stranu směrem ke Strike Landu. </w:t>
      </w:r>
    </w:p>
    <w:p w:rsidR="00C10BD1" w:rsidRPr="00C10BD1" w:rsidRDefault="00C10BD1" w:rsidP="00C10BD1">
      <w:pPr>
        <w:spacing w:line="360" w:lineRule="auto"/>
        <w:ind w:left="360"/>
        <w:jc w:val="both"/>
        <w:rPr>
          <w:rFonts w:ascii="Calibri" w:hAnsi="Calibri" w:cs="Calibri"/>
        </w:rPr>
      </w:pPr>
      <w:r w:rsidRPr="00C10BD1">
        <w:rPr>
          <w:rFonts w:ascii="Calibri" w:hAnsi="Calibri" w:cs="Calibri"/>
        </w:rPr>
        <w:t xml:space="preserve">Před přechodem pro chodce budou na levé straně položeny chráničky VO + MAN pod chodníčkem, který vede pře přivaděč. VO + MAN bude položena v místě vjezdu na parkoviště za ZŠ. Další chráničky VO + MAN budou osazeny u každého sjezdu k nemovitosti, celkem 6 sjezdů na levé straně. Od poslední sjezdu před zastávkou povedou chráničky VO + MAN v chodníku, z důvodu soukromého pozemku. V místě zastávky povedou obě chráničky v zeleném pásu podél obrubníku. Zde bude rovněž položena chránička MAN k označníku zastávky. Na konci zastávky je nutné vést obě chráničky opět v chodníku z důvodu sousedícího plotu. Tyto chráničky dále vedou přes tři ramena křižovatky k protilehlé zastávce, přičemž chránička MAN vede pouze k označníku a chránička VO vede až na konec nástupní hrany. </w:t>
      </w:r>
    </w:p>
    <w:p w:rsidR="00C10BD1" w:rsidRPr="00C10BD1" w:rsidRDefault="00C10BD1" w:rsidP="00C10BD1">
      <w:pPr>
        <w:spacing w:line="360" w:lineRule="auto"/>
        <w:ind w:left="360"/>
        <w:jc w:val="both"/>
        <w:rPr>
          <w:rFonts w:ascii="Calibri" w:hAnsi="Calibri" w:cs="Calibri"/>
        </w:rPr>
      </w:pPr>
    </w:p>
    <w:p w:rsidR="00C10BD1" w:rsidRPr="00C10BD1" w:rsidRDefault="00C10BD1" w:rsidP="00C10BD1">
      <w:pPr>
        <w:spacing w:line="360" w:lineRule="auto"/>
        <w:ind w:left="360"/>
        <w:jc w:val="both"/>
        <w:rPr>
          <w:rFonts w:ascii="Calibri" w:hAnsi="Calibri" w:cs="Calibri"/>
        </w:rPr>
      </w:pPr>
    </w:p>
    <w:p w:rsidR="00C10BD1" w:rsidRPr="00C10BD1" w:rsidRDefault="00C10BD1" w:rsidP="00C10BD1">
      <w:pPr>
        <w:spacing w:line="360" w:lineRule="auto"/>
        <w:ind w:left="360"/>
        <w:jc w:val="both"/>
        <w:rPr>
          <w:rFonts w:ascii="Calibri" w:hAnsi="Calibri" w:cs="Calibri"/>
        </w:rPr>
      </w:pPr>
      <w:r w:rsidRPr="00C10BD1">
        <w:rPr>
          <w:rFonts w:ascii="Calibri" w:hAnsi="Calibri" w:cs="Calibri"/>
          <w:noProof/>
        </w:rPr>
        <w:drawing>
          <wp:anchor distT="0" distB="0" distL="114300" distR="114300" simplePos="0" relativeHeight="251659264" behindDoc="1" locked="0" layoutInCell="1" allowOverlap="1" wp14:anchorId="07D73E3A" wp14:editId="677AFEA0">
            <wp:simplePos x="0" y="0"/>
            <wp:positionH relativeFrom="column">
              <wp:posOffset>198120</wp:posOffset>
            </wp:positionH>
            <wp:positionV relativeFrom="paragraph">
              <wp:posOffset>5230495</wp:posOffset>
            </wp:positionV>
            <wp:extent cx="5400040" cy="2165350"/>
            <wp:effectExtent l="19050" t="19050" r="10160" b="25400"/>
            <wp:wrapTopAndBottom/>
            <wp:docPr id="2" name="Obrázek 2" descr="MA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N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216535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simplePos x="0" y="0"/>
            <wp:positionH relativeFrom="column">
              <wp:posOffset>220980</wp:posOffset>
            </wp:positionH>
            <wp:positionV relativeFrom="paragraph">
              <wp:posOffset>4027170</wp:posOffset>
            </wp:positionV>
            <wp:extent cx="5400040" cy="1021715"/>
            <wp:effectExtent l="19050" t="19050" r="10160" b="26035"/>
            <wp:wrapTopAndBottom/>
            <wp:docPr id="10" name="Obrázek 10" descr="MA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N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10217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C10BD1">
        <w:rPr>
          <w:rFonts w:ascii="Calibri" w:hAnsi="Calibri" w:cs="Calibri"/>
          <w:noProof/>
        </w:rPr>
        <w:drawing>
          <wp:anchor distT="0" distB="0" distL="114300" distR="114300" simplePos="0" relativeHeight="251660288" behindDoc="0" locked="0" layoutInCell="1" allowOverlap="1" wp14:anchorId="560FF8B7" wp14:editId="3DC56FB4">
            <wp:simplePos x="0" y="0"/>
            <wp:positionH relativeFrom="column">
              <wp:posOffset>213995</wp:posOffset>
            </wp:positionH>
            <wp:positionV relativeFrom="paragraph">
              <wp:posOffset>-74295</wp:posOffset>
            </wp:positionV>
            <wp:extent cx="5407660" cy="3983355"/>
            <wp:effectExtent l="19050" t="19050" r="21590" b="17145"/>
            <wp:wrapTopAndBottom/>
            <wp:docPr id="4" name="Obrázek 4" descr="C:\Users\Standin\AppData\Local\Microsoft\Windows\INetCache\Content.Word\MAN 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tandin\AppData\Local\Microsoft\Windows\INetCache\Content.Word\MAN 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7660" cy="3983355"/>
                    </a:xfrm>
                    <a:prstGeom prst="rect">
                      <a:avLst/>
                    </a:prstGeom>
                    <a:noFill/>
                    <a:ln>
                      <a:solidFill>
                        <a:sysClr val="windowText" lastClr="000000"/>
                      </a:solidFill>
                    </a:ln>
                  </pic:spPr>
                </pic:pic>
              </a:graphicData>
            </a:graphic>
            <wp14:sizeRelH relativeFrom="page">
              <wp14:pctWidth>0</wp14:pctWidth>
            </wp14:sizeRelH>
            <wp14:sizeRelV relativeFrom="page">
              <wp14:pctHeight>0</wp14:pctHeight>
            </wp14:sizeRelV>
          </wp:anchor>
        </w:drawing>
      </w:r>
    </w:p>
    <w:p w:rsidR="00C10BD1" w:rsidRPr="00C10BD1" w:rsidRDefault="00C10BD1" w:rsidP="00C10BD1">
      <w:pPr>
        <w:spacing w:line="360" w:lineRule="auto"/>
        <w:ind w:left="360"/>
        <w:jc w:val="both"/>
        <w:rPr>
          <w:rFonts w:ascii="Calibri" w:hAnsi="Calibri" w:cs="Calibri"/>
          <w:b/>
          <w:u w:val="single"/>
        </w:rPr>
      </w:pPr>
      <w:r w:rsidRPr="00C10BD1">
        <w:rPr>
          <w:rFonts w:ascii="Calibri" w:hAnsi="Calibri" w:cs="Calibri"/>
          <w:b/>
          <w:u w:val="single"/>
        </w:rPr>
        <w:lastRenderedPageBreak/>
        <w:t>DOKONČOVACÍ PRÁCE A ZNAČENÍ:</w:t>
      </w:r>
    </w:p>
    <w:p w:rsidR="00C10BD1" w:rsidRDefault="00C10BD1" w:rsidP="00C10BD1">
      <w:pPr>
        <w:spacing w:line="360" w:lineRule="auto"/>
        <w:ind w:left="360"/>
        <w:jc w:val="both"/>
        <w:rPr>
          <w:rFonts w:ascii="Calibri" w:hAnsi="Calibri" w:cs="Calibri"/>
        </w:rPr>
      </w:pPr>
      <w:r w:rsidRPr="00C10BD1">
        <w:rPr>
          <w:rFonts w:ascii="Calibri" w:hAnsi="Calibri" w:cs="Calibri"/>
        </w:rPr>
        <w:t xml:space="preserve">Po dokončení finálních povrchů budou </w:t>
      </w:r>
      <w:proofErr w:type="spellStart"/>
      <w:r w:rsidRPr="00C10BD1">
        <w:rPr>
          <w:rFonts w:ascii="Calibri" w:hAnsi="Calibri" w:cs="Calibri"/>
        </w:rPr>
        <w:t>zapískovány</w:t>
      </w:r>
      <w:proofErr w:type="spellEnd"/>
      <w:r w:rsidRPr="00C10BD1">
        <w:rPr>
          <w:rFonts w:ascii="Calibri" w:hAnsi="Calibri" w:cs="Calibri"/>
        </w:rPr>
        <w:t xml:space="preserve"> veškeré dlažby. Podél chodníkových obrub bude obnovena narušená zeleň v šíři 0,5m, </w:t>
      </w:r>
      <w:proofErr w:type="spellStart"/>
      <w:r w:rsidRPr="00C10BD1">
        <w:rPr>
          <w:rFonts w:ascii="Calibri" w:hAnsi="Calibri" w:cs="Calibri"/>
        </w:rPr>
        <w:t>tl</w:t>
      </w:r>
      <w:proofErr w:type="spellEnd"/>
      <w:r w:rsidRPr="00C10BD1">
        <w:rPr>
          <w:rFonts w:ascii="Calibri" w:hAnsi="Calibri" w:cs="Calibri"/>
        </w:rPr>
        <w:t xml:space="preserve">. </w:t>
      </w:r>
      <w:proofErr w:type="spellStart"/>
      <w:r w:rsidRPr="00C10BD1">
        <w:rPr>
          <w:rFonts w:ascii="Calibri" w:hAnsi="Calibri" w:cs="Calibri"/>
        </w:rPr>
        <w:t>ohumusování</w:t>
      </w:r>
      <w:proofErr w:type="spellEnd"/>
      <w:r w:rsidRPr="00C10BD1">
        <w:rPr>
          <w:rFonts w:ascii="Calibri" w:hAnsi="Calibri" w:cs="Calibri"/>
        </w:rPr>
        <w:t xml:space="preserve"> 0,15m. </w:t>
      </w:r>
      <w:proofErr w:type="spellStart"/>
      <w:r w:rsidRPr="00C10BD1">
        <w:rPr>
          <w:rFonts w:ascii="Calibri" w:hAnsi="Calibri" w:cs="Calibri"/>
        </w:rPr>
        <w:t>Ohumusování</w:t>
      </w:r>
      <w:proofErr w:type="spellEnd"/>
      <w:r w:rsidRPr="00C10BD1">
        <w:rPr>
          <w:rFonts w:ascii="Calibri" w:hAnsi="Calibri" w:cs="Calibri"/>
        </w:rPr>
        <w:t xml:space="preserve"> bude provedeno čistou prosévanou zeminou, ta bude oseta travním semenem a dostatečně zalita.</w:t>
      </w:r>
    </w:p>
    <w:p w:rsidR="006A4E37" w:rsidRPr="00C10BD1" w:rsidRDefault="006A4E37" w:rsidP="00C10BD1">
      <w:pPr>
        <w:spacing w:line="360" w:lineRule="auto"/>
        <w:ind w:left="360"/>
        <w:jc w:val="both"/>
        <w:rPr>
          <w:rFonts w:ascii="Calibri" w:hAnsi="Calibri" w:cs="Calibri"/>
        </w:rPr>
      </w:pPr>
    </w:p>
    <w:p w:rsidR="00B96DCF" w:rsidRDefault="00C10BD1" w:rsidP="006A4E37">
      <w:pPr>
        <w:pStyle w:val="cc"/>
        <w:spacing w:before="0" w:beforeAutospacing="0" w:after="0" w:afterAutospacing="0" w:line="360" w:lineRule="auto"/>
        <w:ind w:left="426"/>
        <w:jc w:val="both"/>
        <w:rPr>
          <w:rFonts w:ascii="Calibri" w:hAnsi="Calibri" w:cs="Calibri"/>
          <w:sz w:val="20"/>
          <w:szCs w:val="20"/>
        </w:rPr>
      </w:pPr>
      <w:r w:rsidRPr="00C10BD1">
        <w:rPr>
          <w:rFonts w:ascii="Calibri" w:hAnsi="Calibri" w:cs="Calibri"/>
          <w:sz w:val="20"/>
          <w:szCs w:val="20"/>
        </w:rPr>
        <w:t>Součástí PD je obnova</w:t>
      </w:r>
      <w:r w:rsidR="006A4E37">
        <w:rPr>
          <w:rFonts w:ascii="Calibri" w:hAnsi="Calibri" w:cs="Calibri"/>
          <w:sz w:val="20"/>
          <w:szCs w:val="20"/>
        </w:rPr>
        <w:t xml:space="preserve"> a</w:t>
      </w:r>
      <w:r w:rsidRPr="00C10BD1">
        <w:rPr>
          <w:rFonts w:ascii="Calibri" w:hAnsi="Calibri" w:cs="Calibri"/>
          <w:sz w:val="20"/>
          <w:szCs w:val="20"/>
        </w:rPr>
        <w:t xml:space="preserve"> doplnění nového vodorovného značení. Jediné vodorovné značení, které brání</w:t>
      </w:r>
      <w:r w:rsidR="00344BFA">
        <w:rPr>
          <w:rFonts w:ascii="Calibri" w:hAnsi="Calibri" w:cs="Calibri"/>
          <w:sz w:val="20"/>
          <w:szCs w:val="20"/>
        </w:rPr>
        <w:t xml:space="preserve"> okamžitému</w:t>
      </w:r>
      <w:r w:rsidRPr="00C10BD1">
        <w:rPr>
          <w:rFonts w:ascii="Calibri" w:hAnsi="Calibri" w:cs="Calibri"/>
          <w:sz w:val="20"/>
          <w:szCs w:val="20"/>
        </w:rPr>
        <w:t xml:space="preserve"> provozu je stávající přechod pro chodce před Penny marketem. Tento přechod bude nastříkán barvou. Po 2 měsících, případně dříve v závislosti na klimatických podmínkách, až vyzraje asfaltový povrch, bude proveden finální nátěr v plastu. Nově jsou zde vodící proužky v celé délce řešeného úseku. Vodící proužky šíře 0,25m budou vymezovat jízdní pruhy konstantní šíře 2 x 3,25m. V obloucích budou jízdní pruhy rozšířeny o 0,25m v každém směru.</w:t>
      </w:r>
    </w:p>
    <w:p w:rsidR="006A4E37" w:rsidRPr="006A4E37" w:rsidRDefault="006A4E37" w:rsidP="006A4E37">
      <w:pPr>
        <w:pStyle w:val="cc"/>
        <w:ind w:left="426"/>
        <w:jc w:val="both"/>
        <w:rPr>
          <w:rFonts w:asciiTheme="minorHAnsi" w:hAnsiTheme="minorHAnsi" w:cs="Tahoma"/>
          <w:b/>
          <w:sz w:val="20"/>
          <w:szCs w:val="20"/>
        </w:rPr>
      </w:pPr>
      <w:r w:rsidRPr="006A4E37">
        <w:rPr>
          <w:rFonts w:asciiTheme="minorHAnsi" w:hAnsiTheme="minorHAnsi" w:cs="Tahoma"/>
          <w:b/>
          <w:sz w:val="20"/>
          <w:szCs w:val="20"/>
        </w:rPr>
        <w:t>SOUPIS VODOROVNÉHO ZNAČENÍ V SOULADU S TP 133:</w:t>
      </w:r>
    </w:p>
    <w:p w:rsidR="006A4E37" w:rsidRPr="006A4E37" w:rsidRDefault="006A4E37" w:rsidP="006A4E37">
      <w:pPr>
        <w:pStyle w:val="cc"/>
        <w:ind w:left="426"/>
        <w:jc w:val="both"/>
        <w:rPr>
          <w:rFonts w:asciiTheme="minorHAnsi" w:hAnsiTheme="minorHAnsi" w:cs="Tahoma"/>
          <w:sz w:val="20"/>
          <w:szCs w:val="20"/>
        </w:rPr>
      </w:pPr>
      <w:r w:rsidRPr="006A4E37">
        <w:rPr>
          <w:rFonts w:asciiTheme="minorHAnsi" w:hAnsiTheme="minorHAnsi" w:cs="Tahoma"/>
          <w:sz w:val="20"/>
          <w:szCs w:val="20"/>
        </w:rPr>
        <w:t>V 1a</w:t>
      </w:r>
      <w:r w:rsidRPr="006A4E37">
        <w:rPr>
          <w:rFonts w:asciiTheme="minorHAnsi" w:hAnsiTheme="minorHAnsi" w:cs="Tahoma"/>
          <w:sz w:val="20"/>
          <w:szCs w:val="20"/>
        </w:rPr>
        <w:tab/>
      </w:r>
      <w:r w:rsidRPr="006A4E37">
        <w:rPr>
          <w:rFonts w:asciiTheme="minorHAnsi" w:hAnsiTheme="minorHAnsi" w:cs="Tahoma"/>
          <w:sz w:val="20"/>
          <w:szCs w:val="20"/>
        </w:rPr>
        <w:tab/>
        <w:t>Středová dělicí čára plná šíře 0,125m</w:t>
      </w:r>
    </w:p>
    <w:p w:rsidR="006A4E37" w:rsidRPr="006A4E37" w:rsidRDefault="006A4E37" w:rsidP="006A4E37">
      <w:pPr>
        <w:pStyle w:val="cc"/>
        <w:ind w:left="426"/>
        <w:jc w:val="both"/>
        <w:rPr>
          <w:rFonts w:asciiTheme="minorHAnsi" w:hAnsiTheme="minorHAnsi" w:cs="Tahoma"/>
          <w:sz w:val="20"/>
          <w:szCs w:val="20"/>
        </w:rPr>
      </w:pPr>
      <w:r w:rsidRPr="006A4E37">
        <w:rPr>
          <w:rFonts w:asciiTheme="minorHAnsi" w:hAnsiTheme="minorHAnsi" w:cs="Tahoma"/>
          <w:sz w:val="20"/>
          <w:szCs w:val="20"/>
        </w:rPr>
        <w:t xml:space="preserve">V </w:t>
      </w:r>
      <w:proofErr w:type="gramStart"/>
      <w:r w:rsidRPr="006A4E37">
        <w:rPr>
          <w:rFonts w:asciiTheme="minorHAnsi" w:hAnsiTheme="minorHAnsi" w:cs="Tahoma"/>
          <w:sz w:val="20"/>
          <w:szCs w:val="20"/>
        </w:rPr>
        <w:t>2b</w:t>
      </w:r>
      <w:proofErr w:type="gramEnd"/>
      <w:r w:rsidRPr="006A4E37">
        <w:rPr>
          <w:rFonts w:asciiTheme="minorHAnsi" w:hAnsiTheme="minorHAnsi" w:cs="Tahoma"/>
          <w:sz w:val="20"/>
          <w:szCs w:val="20"/>
        </w:rPr>
        <w:tab/>
      </w:r>
      <w:r w:rsidRPr="006A4E37">
        <w:rPr>
          <w:rFonts w:asciiTheme="minorHAnsi" w:hAnsiTheme="minorHAnsi" w:cs="Tahoma"/>
          <w:sz w:val="20"/>
          <w:szCs w:val="20"/>
        </w:rPr>
        <w:tab/>
        <w:t>Středová dělící čára přerušovaná šíře 0,125 / 3,0 / 1,5m</w:t>
      </w:r>
    </w:p>
    <w:p w:rsidR="006A4E37" w:rsidRPr="006A4E37" w:rsidRDefault="006A4E37" w:rsidP="006A4E37">
      <w:pPr>
        <w:pStyle w:val="cc"/>
        <w:ind w:left="426"/>
        <w:jc w:val="both"/>
        <w:rPr>
          <w:rFonts w:asciiTheme="minorHAnsi" w:hAnsiTheme="minorHAnsi" w:cs="Tahoma"/>
          <w:sz w:val="20"/>
          <w:szCs w:val="20"/>
        </w:rPr>
      </w:pPr>
      <w:r w:rsidRPr="006A4E37">
        <w:rPr>
          <w:rFonts w:asciiTheme="minorHAnsi" w:hAnsiTheme="minorHAnsi" w:cs="Tahoma"/>
          <w:sz w:val="20"/>
          <w:szCs w:val="20"/>
        </w:rPr>
        <w:t>V 2b</w:t>
      </w:r>
      <w:r w:rsidRPr="006A4E37">
        <w:rPr>
          <w:rFonts w:asciiTheme="minorHAnsi" w:hAnsiTheme="minorHAnsi" w:cs="Tahoma"/>
          <w:sz w:val="20"/>
          <w:szCs w:val="20"/>
        </w:rPr>
        <w:tab/>
      </w:r>
      <w:r w:rsidRPr="006A4E37">
        <w:rPr>
          <w:rFonts w:asciiTheme="minorHAnsi" w:hAnsiTheme="minorHAnsi" w:cs="Tahoma"/>
          <w:sz w:val="20"/>
          <w:szCs w:val="20"/>
        </w:rPr>
        <w:tab/>
        <w:t>Vodící proužek v křižovatce, přerušovaná čára 0,25 / 0,5 /0,5m</w:t>
      </w:r>
    </w:p>
    <w:p w:rsidR="006A4E37" w:rsidRPr="006A4E37" w:rsidRDefault="006A4E37" w:rsidP="006A4E37">
      <w:pPr>
        <w:pStyle w:val="cc"/>
        <w:ind w:left="426"/>
        <w:jc w:val="both"/>
        <w:rPr>
          <w:rFonts w:asciiTheme="minorHAnsi" w:hAnsiTheme="minorHAnsi" w:cs="Tahoma"/>
          <w:sz w:val="20"/>
          <w:szCs w:val="20"/>
        </w:rPr>
      </w:pPr>
      <w:r w:rsidRPr="006A4E37">
        <w:rPr>
          <w:rFonts w:asciiTheme="minorHAnsi" w:hAnsiTheme="minorHAnsi" w:cs="Tahoma"/>
          <w:sz w:val="20"/>
          <w:szCs w:val="20"/>
        </w:rPr>
        <w:t>V 4</w:t>
      </w:r>
      <w:r w:rsidRPr="006A4E37">
        <w:rPr>
          <w:rFonts w:asciiTheme="minorHAnsi" w:hAnsiTheme="minorHAnsi" w:cs="Tahoma"/>
          <w:sz w:val="20"/>
          <w:szCs w:val="20"/>
        </w:rPr>
        <w:tab/>
      </w:r>
      <w:r w:rsidRPr="006A4E37">
        <w:rPr>
          <w:rFonts w:asciiTheme="minorHAnsi" w:hAnsiTheme="minorHAnsi" w:cs="Tahoma"/>
          <w:sz w:val="20"/>
          <w:szCs w:val="20"/>
        </w:rPr>
        <w:tab/>
      </w:r>
      <w:r>
        <w:rPr>
          <w:rFonts w:asciiTheme="minorHAnsi" w:hAnsiTheme="minorHAnsi" w:cs="Tahoma"/>
          <w:sz w:val="20"/>
          <w:szCs w:val="20"/>
        </w:rPr>
        <w:tab/>
      </w:r>
      <w:r w:rsidRPr="006A4E37">
        <w:rPr>
          <w:rFonts w:asciiTheme="minorHAnsi" w:hAnsiTheme="minorHAnsi" w:cs="Tahoma"/>
          <w:sz w:val="20"/>
          <w:szCs w:val="20"/>
        </w:rPr>
        <w:t>Vodící proužek, plná čára šíře 0,25m</w:t>
      </w:r>
    </w:p>
    <w:p w:rsidR="006A4E37" w:rsidRPr="006A4E37" w:rsidRDefault="006A4E37" w:rsidP="006A4E37">
      <w:pPr>
        <w:pStyle w:val="cc"/>
        <w:ind w:left="426"/>
        <w:jc w:val="both"/>
        <w:rPr>
          <w:rFonts w:asciiTheme="minorHAnsi" w:hAnsiTheme="minorHAnsi" w:cs="Tahoma"/>
          <w:sz w:val="20"/>
          <w:szCs w:val="20"/>
        </w:rPr>
      </w:pPr>
      <w:r w:rsidRPr="006A4E37">
        <w:rPr>
          <w:rFonts w:asciiTheme="minorHAnsi" w:hAnsiTheme="minorHAnsi" w:cs="Tahoma"/>
          <w:sz w:val="20"/>
          <w:szCs w:val="20"/>
        </w:rPr>
        <w:t>V 4</w:t>
      </w:r>
      <w:r w:rsidRPr="006A4E37">
        <w:rPr>
          <w:rFonts w:asciiTheme="minorHAnsi" w:hAnsiTheme="minorHAnsi" w:cs="Tahoma"/>
          <w:sz w:val="20"/>
          <w:szCs w:val="20"/>
        </w:rPr>
        <w:tab/>
      </w:r>
      <w:r w:rsidRPr="006A4E37">
        <w:rPr>
          <w:rFonts w:asciiTheme="minorHAnsi" w:hAnsiTheme="minorHAnsi" w:cs="Tahoma"/>
          <w:sz w:val="20"/>
          <w:szCs w:val="20"/>
        </w:rPr>
        <w:tab/>
      </w:r>
      <w:r>
        <w:rPr>
          <w:rFonts w:asciiTheme="minorHAnsi" w:hAnsiTheme="minorHAnsi" w:cs="Tahoma"/>
          <w:sz w:val="20"/>
          <w:szCs w:val="20"/>
        </w:rPr>
        <w:tab/>
      </w:r>
      <w:r w:rsidRPr="006A4E37">
        <w:rPr>
          <w:rFonts w:asciiTheme="minorHAnsi" w:hAnsiTheme="minorHAnsi" w:cs="Tahoma"/>
          <w:sz w:val="20"/>
          <w:szCs w:val="20"/>
        </w:rPr>
        <w:t>Vodící proužek, přerušovaná čára 0,25 / 0,5 / 0,5m</w:t>
      </w:r>
    </w:p>
    <w:p w:rsidR="006A4E37" w:rsidRPr="006A4E37" w:rsidRDefault="006A4E37" w:rsidP="006A4E37">
      <w:pPr>
        <w:pStyle w:val="cc"/>
        <w:ind w:left="426"/>
        <w:jc w:val="both"/>
        <w:rPr>
          <w:rFonts w:asciiTheme="minorHAnsi" w:hAnsiTheme="minorHAnsi" w:cs="Tahoma"/>
          <w:sz w:val="20"/>
          <w:szCs w:val="20"/>
        </w:rPr>
      </w:pPr>
      <w:r w:rsidRPr="006A4E37">
        <w:rPr>
          <w:rFonts w:asciiTheme="minorHAnsi" w:hAnsiTheme="minorHAnsi" w:cs="Tahoma"/>
          <w:sz w:val="20"/>
          <w:szCs w:val="20"/>
        </w:rPr>
        <w:t>V 7</w:t>
      </w:r>
      <w:r w:rsidRPr="006A4E37">
        <w:rPr>
          <w:rFonts w:asciiTheme="minorHAnsi" w:hAnsiTheme="minorHAnsi" w:cs="Tahoma"/>
          <w:sz w:val="20"/>
          <w:szCs w:val="20"/>
        </w:rPr>
        <w:tab/>
      </w:r>
      <w:r w:rsidRPr="006A4E37">
        <w:rPr>
          <w:rFonts w:asciiTheme="minorHAnsi" w:hAnsiTheme="minorHAnsi" w:cs="Tahoma"/>
          <w:sz w:val="20"/>
          <w:szCs w:val="20"/>
        </w:rPr>
        <w:tab/>
      </w:r>
      <w:r>
        <w:rPr>
          <w:rFonts w:asciiTheme="minorHAnsi" w:hAnsiTheme="minorHAnsi" w:cs="Tahoma"/>
          <w:sz w:val="20"/>
          <w:szCs w:val="20"/>
        </w:rPr>
        <w:tab/>
      </w:r>
      <w:r w:rsidRPr="006A4E37">
        <w:rPr>
          <w:rFonts w:asciiTheme="minorHAnsi" w:hAnsiTheme="minorHAnsi" w:cs="Tahoma"/>
          <w:sz w:val="20"/>
          <w:szCs w:val="20"/>
        </w:rPr>
        <w:t>Přechod pro chodce šíře 4,0m, délky 6,0m</w:t>
      </w:r>
    </w:p>
    <w:p w:rsidR="006A4E37" w:rsidRPr="006A4E37" w:rsidRDefault="006A4E37" w:rsidP="006A4E37">
      <w:pPr>
        <w:pStyle w:val="cc"/>
        <w:ind w:left="426"/>
        <w:jc w:val="both"/>
        <w:rPr>
          <w:rFonts w:asciiTheme="minorHAnsi" w:hAnsiTheme="minorHAnsi" w:cs="Tahoma"/>
          <w:sz w:val="20"/>
          <w:szCs w:val="20"/>
        </w:rPr>
      </w:pPr>
      <w:r w:rsidRPr="006A4E37">
        <w:rPr>
          <w:rFonts w:asciiTheme="minorHAnsi" w:hAnsiTheme="minorHAnsi" w:cs="Tahoma"/>
          <w:sz w:val="20"/>
          <w:szCs w:val="20"/>
        </w:rPr>
        <w:t>V 11a</w:t>
      </w:r>
      <w:r w:rsidRPr="006A4E37">
        <w:rPr>
          <w:rFonts w:asciiTheme="minorHAnsi" w:hAnsiTheme="minorHAnsi" w:cs="Tahoma"/>
          <w:sz w:val="20"/>
          <w:szCs w:val="20"/>
        </w:rPr>
        <w:tab/>
      </w:r>
      <w:r w:rsidRPr="006A4E37">
        <w:rPr>
          <w:rFonts w:asciiTheme="minorHAnsi" w:hAnsiTheme="minorHAnsi" w:cs="Tahoma"/>
          <w:sz w:val="20"/>
          <w:szCs w:val="20"/>
        </w:rPr>
        <w:tab/>
        <w:t>Zastávka autobusu, délka 13,5m, šíře 2,6m, šíře s vodící proužkem 3,0m</w:t>
      </w:r>
    </w:p>
    <w:p w:rsidR="006A4E37" w:rsidRPr="006A4E37" w:rsidRDefault="006A4E37" w:rsidP="006A4E37">
      <w:pPr>
        <w:pStyle w:val="cc"/>
        <w:ind w:left="426"/>
        <w:jc w:val="both"/>
        <w:rPr>
          <w:rFonts w:asciiTheme="minorHAnsi" w:hAnsiTheme="minorHAnsi" w:cs="Tahoma"/>
          <w:sz w:val="20"/>
          <w:szCs w:val="20"/>
        </w:rPr>
      </w:pPr>
      <w:r w:rsidRPr="006A4E37">
        <w:rPr>
          <w:rFonts w:asciiTheme="minorHAnsi" w:hAnsiTheme="minorHAnsi" w:cs="Tahoma"/>
          <w:sz w:val="20"/>
          <w:szCs w:val="20"/>
        </w:rPr>
        <w:t>V 12e</w:t>
      </w:r>
      <w:r w:rsidRPr="006A4E37">
        <w:rPr>
          <w:rFonts w:asciiTheme="minorHAnsi" w:hAnsiTheme="minorHAnsi" w:cs="Tahoma"/>
          <w:sz w:val="20"/>
          <w:szCs w:val="20"/>
        </w:rPr>
        <w:tab/>
      </w:r>
      <w:r w:rsidRPr="006A4E37">
        <w:rPr>
          <w:rFonts w:asciiTheme="minorHAnsi" w:hAnsiTheme="minorHAnsi" w:cs="Tahoma"/>
          <w:sz w:val="20"/>
          <w:szCs w:val="20"/>
        </w:rPr>
        <w:tab/>
        <w:t>Klikaté čáry upozorňující řidiče, tři vrcholy, úhel 135°, šíře 0,5m, tloušťka čáry 0,125m</w:t>
      </w:r>
    </w:p>
    <w:p w:rsidR="006A4E37" w:rsidRDefault="006A4E37" w:rsidP="006A4E37">
      <w:pPr>
        <w:pStyle w:val="cc"/>
        <w:ind w:left="426"/>
        <w:jc w:val="both"/>
        <w:rPr>
          <w:rFonts w:asciiTheme="minorHAnsi" w:hAnsiTheme="minorHAnsi" w:cs="Tahoma"/>
          <w:sz w:val="20"/>
          <w:szCs w:val="20"/>
        </w:rPr>
      </w:pPr>
      <w:r w:rsidRPr="006A4E37">
        <w:rPr>
          <w:rFonts w:asciiTheme="minorHAnsi" w:hAnsiTheme="minorHAnsi" w:cs="Tahoma"/>
          <w:sz w:val="20"/>
          <w:szCs w:val="20"/>
        </w:rPr>
        <w:t>V 13a</w:t>
      </w:r>
      <w:r w:rsidRPr="006A4E37">
        <w:rPr>
          <w:rFonts w:asciiTheme="minorHAnsi" w:hAnsiTheme="minorHAnsi" w:cs="Tahoma"/>
          <w:sz w:val="20"/>
          <w:szCs w:val="20"/>
        </w:rPr>
        <w:tab/>
      </w:r>
      <w:r w:rsidRPr="006A4E37">
        <w:rPr>
          <w:rFonts w:asciiTheme="minorHAnsi" w:hAnsiTheme="minorHAnsi" w:cs="Tahoma"/>
          <w:sz w:val="20"/>
          <w:szCs w:val="20"/>
        </w:rPr>
        <w:tab/>
        <w:t>Šrafy</w:t>
      </w:r>
      <w:r w:rsidRPr="006A4E37">
        <w:rPr>
          <w:rFonts w:asciiTheme="minorHAnsi" w:hAnsiTheme="minorHAnsi" w:cs="Tahoma"/>
          <w:sz w:val="20"/>
          <w:szCs w:val="20"/>
        </w:rPr>
        <w:tab/>
      </w:r>
      <w:r w:rsidRPr="006A4E37">
        <w:rPr>
          <w:rFonts w:asciiTheme="minorHAnsi" w:hAnsiTheme="minorHAnsi" w:cs="Tahoma"/>
          <w:sz w:val="20"/>
          <w:szCs w:val="20"/>
        </w:rPr>
        <w:tab/>
      </w:r>
    </w:p>
    <w:p w:rsidR="00B96DCF" w:rsidRDefault="00576D83" w:rsidP="009B45F1">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 xml:space="preserve">Součástí je rovněž úprava svislého dopravního značení. V místě křižovatky ke Strike </w:t>
      </w:r>
      <w:proofErr w:type="spellStart"/>
      <w:r>
        <w:rPr>
          <w:rFonts w:asciiTheme="minorHAnsi" w:hAnsiTheme="minorHAnsi" w:cs="Tahoma"/>
          <w:sz w:val="20"/>
          <w:szCs w:val="20"/>
        </w:rPr>
        <w:t>landu</w:t>
      </w:r>
      <w:proofErr w:type="spellEnd"/>
      <w:r>
        <w:rPr>
          <w:rFonts w:asciiTheme="minorHAnsi" w:hAnsiTheme="minorHAnsi" w:cs="Tahoma"/>
          <w:sz w:val="20"/>
          <w:szCs w:val="20"/>
        </w:rPr>
        <w:t xml:space="preserve"> a Penny marketu je stávající křižovatka rozdělena na dvě stykové křižovatky. Ze stávající značky P2 bude odstraněna doplňková tabulka „tvar křižovatky“ a bude přidána druhá značka P2, která určí druhou křižovatku – odbočku k Penny marketu. Ta bude osazena hned vedle stávající chodníkové obruby tak, aby nebránila zimní údržbě a pohybu chodcům. </w:t>
      </w:r>
    </w:p>
    <w:p w:rsidR="00576D83" w:rsidRDefault="00576D83" w:rsidP="009B45F1">
      <w:pPr>
        <w:pStyle w:val="cc"/>
        <w:spacing w:before="0" w:beforeAutospacing="0" w:after="0" w:afterAutospacing="0" w:line="360" w:lineRule="auto"/>
        <w:jc w:val="both"/>
        <w:rPr>
          <w:rFonts w:asciiTheme="minorHAnsi" w:hAnsiTheme="minorHAnsi" w:cs="Tahoma"/>
          <w:sz w:val="20"/>
          <w:szCs w:val="20"/>
        </w:rPr>
      </w:pPr>
    </w:p>
    <w:p w:rsidR="00AC32E0" w:rsidRPr="00AC32E0" w:rsidRDefault="00847EBD" w:rsidP="009628E9">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F</w:t>
      </w:r>
      <w:r w:rsidR="00AC32E0" w:rsidRPr="00AC32E0">
        <w:rPr>
          <w:rFonts w:asciiTheme="minorHAnsi" w:hAnsiTheme="minorHAnsi" w:cstheme="minorHAnsi"/>
          <w:b/>
          <w:bCs/>
          <w:kern w:val="32"/>
          <w:sz w:val="20"/>
        </w:rPr>
        <w:t xml:space="preserve">) </w:t>
      </w:r>
      <w:r w:rsidR="00AC32E0">
        <w:rPr>
          <w:rFonts w:asciiTheme="minorHAnsi" w:hAnsiTheme="minorHAnsi" w:cstheme="minorHAnsi"/>
          <w:b/>
          <w:bCs/>
          <w:kern w:val="32"/>
          <w:sz w:val="20"/>
        </w:rPr>
        <w:t xml:space="preserve">REŽIM POVRCHOVÝCH A PODZEMNÍCH VOD, ZÁSADY ODVODNĚNÍ, OCHRANA PODZEMNÍCH </w:t>
      </w:r>
      <w:r w:rsidR="00BD0F41">
        <w:rPr>
          <w:rFonts w:asciiTheme="minorHAnsi" w:hAnsiTheme="minorHAnsi" w:cstheme="minorHAnsi"/>
          <w:b/>
          <w:bCs/>
          <w:kern w:val="32"/>
          <w:sz w:val="20"/>
        </w:rPr>
        <w:t>VOD</w:t>
      </w:r>
    </w:p>
    <w:p w:rsidR="00AA7230" w:rsidRPr="00854E75" w:rsidRDefault="00AA7230" w:rsidP="00854E75">
      <w:pPr>
        <w:spacing w:line="360" w:lineRule="auto"/>
        <w:jc w:val="both"/>
        <w:rPr>
          <w:rFonts w:asciiTheme="minorHAnsi" w:hAnsiTheme="minorHAnsi" w:cstheme="minorHAnsi"/>
        </w:rPr>
      </w:pPr>
      <w:r w:rsidRPr="00854E75">
        <w:rPr>
          <w:rFonts w:asciiTheme="minorHAnsi" w:hAnsiTheme="minorHAnsi" w:cstheme="minorHAnsi"/>
        </w:rPr>
        <w:t xml:space="preserve">Navrhovaná stavba bude budována s vědomím nutnosti ochrany podzemních a povrchových vod, čemuž odpovídá stavební řešení. Látky nebezpečné vodám budou používány v nejnutnějším omezeném rozsahu a bude zaručeno, že i při případné drobné havárii nedojde k jejich úniku do kanalizace.  Na staveništi se nenachází </w:t>
      </w:r>
      <w:r w:rsidRPr="00854E75">
        <w:rPr>
          <w:rFonts w:asciiTheme="minorHAnsi" w:hAnsiTheme="minorHAnsi" w:cstheme="minorHAnsi"/>
        </w:rPr>
        <w:lastRenderedPageBreak/>
        <w:t xml:space="preserve">a ani v minulosti nenacházel žádný využitelný podzemní vodní zdroj. </w:t>
      </w:r>
      <w:r w:rsidR="002A390C">
        <w:rPr>
          <w:rFonts w:asciiTheme="minorHAnsi" w:hAnsiTheme="minorHAnsi" w:cstheme="minorHAnsi"/>
        </w:rPr>
        <w:t xml:space="preserve">Je nutné, aby stavba zajistila ochranu vodního toku Podkrušnohorský převaděč. Do tohoto toku je napojena dešťová kanalizace, do které jsou napojeny všechny stávající uliční vpusti. Je tedy nezbytné zajistit ochranu proti úkapům ropných a jiných nebezpečných látek v celém rozsahu stavby. </w:t>
      </w:r>
    </w:p>
    <w:p w:rsidR="005279AC" w:rsidRDefault="00431B9A" w:rsidP="002A390C">
      <w:pPr>
        <w:spacing w:line="360" w:lineRule="auto"/>
        <w:jc w:val="both"/>
        <w:rPr>
          <w:rFonts w:asciiTheme="minorHAnsi" w:hAnsiTheme="minorHAnsi"/>
        </w:rPr>
      </w:pPr>
      <w:r w:rsidRPr="00854E75">
        <w:rPr>
          <w:rFonts w:asciiTheme="minorHAnsi" w:hAnsiTheme="minorHAnsi" w:cstheme="minorHAnsi"/>
        </w:rPr>
        <w:t xml:space="preserve">Odvodnění </w:t>
      </w:r>
      <w:r w:rsidR="00245C55">
        <w:rPr>
          <w:rFonts w:asciiTheme="minorHAnsi" w:hAnsiTheme="minorHAnsi" w:cstheme="minorHAnsi"/>
        </w:rPr>
        <w:t>komunikace</w:t>
      </w:r>
      <w:r w:rsidRPr="00854E75">
        <w:rPr>
          <w:rFonts w:asciiTheme="minorHAnsi" w:hAnsiTheme="minorHAnsi" w:cstheme="minorHAnsi"/>
        </w:rPr>
        <w:t xml:space="preserve"> </w:t>
      </w:r>
      <w:r w:rsidR="00A2696C">
        <w:rPr>
          <w:rFonts w:asciiTheme="minorHAnsi" w:hAnsiTheme="minorHAnsi" w:cstheme="minorHAnsi"/>
        </w:rPr>
        <w:t>zůstan</w:t>
      </w:r>
      <w:r w:rsidRPr="00854E75">
        <w:rPr>
          <w:rFonts w:asciiTheme="minorHAnsi" w:hAnsiTheme="minorHAnsi" w:cstheme="minorHAnsi"/>
        </w:rPr>
        <w:t>e příčným a podélným spádem do</w:t>
      </w:r>
      <w:r w:rsidR="00D4172C">
        <w:rPr>
          <w:rFonts w:asciiTheme="minorHAnsi" w:hAnsiTheme="minorHAnsi" w:cstheme="minorHAnsi"/>
        </w:rPr>
        <w:t xml:space="preserve"> </w:t>
      </w:r>
      <w:r w:rsidR="00A2696C">
        <w:rPr>
          <w:rFonts w:asciiTheme="minorHAnsi" w:hAnsiTheme="minorHAnsi" w:cstheme="minorHAnsi"/>
        </w:rPr>
        <w:t>stávající</w:t>
      </w:r>
      <w:r w:rsidR="002707E3">
        <w:rPr>
          <w:rFonts w:asciiTheme="minorHAnsi" w:hAnsiTheme="minorHAnsi" w:cstheme="minorHAnsi"/>
        </w:rPr>
        <w:t>ch</w:t>
      </w:r>
      <w:r w:rsidR="00A2696C">
        <w:rPr>
          <w:rFonts w:asciiTheme="minorHAnsi" w:hAnsiTheme="minorHAnsi" w:cstheme="minorHAnsi"/>
        </w:rPr>
        <w:t xml:space="preserve"> uliční</w:t>
      </w:r>
      <w:r w:rsidR="002707E3">
        <w:rPr>
          <w:rFonts w:asciiTheme="minorHAnsi" w:hAnsiTheme="minorHAnsi" w:cstheme="minorHAnsi"/>
        </w:rPr>
        <w:t>ch</w:t>
      </w:r>
      <w:r w:rsidR="00A2696C">
        <w:rPr>
          <w:rFonts w:asciiTheme="minorHAnsi" w:hAnsiTheme="minorHAnsi" w:cstheme="minorHAnsi"/>
        </w:rPr>
        <w:t xml:space="preserve"> vpust</w:t>
      </w:r>
      <w:r w:rsidR="002707E3">
        <w:rPr>
          <w:rFonts w:asciiTheme="minorHAnsi" w:hAnsiTheme="minorHAnsi" w:cstheme="minorHAnsi"/>
        </w:rPr>
        <w:t>í</w:t>
      </w:r>
      <w:r w:rsidR="00D4172C">
        <w:rPr>
          <w:rFonts w:asciiTheme="minorHAnsi" w:hAnsiTheme="minorHAnsi" w:cstheme="minorHAnsi"/>
        </w:rPr>
        <w:t xml:space="preserve">. </w:t>
      </w:r>
    </w:p>
    <w:p w:rsidR="005279AC" w:rsidRDefault="005279AC" w:rsidP="00B46B4B">
      <w:pPr>
        <w:pStyle w:val="cc"/>
        <w:spacing w:before="0" w:beforeAutospacing="0" w:after="0" w:afterAutospacing="0" w:line="360" w:lineRule="auto"/>
        <w:jc w:val="both"/>
        <w:rPr>
          <w:rFonts w:asciiTheme="minorHAnsi" w:hAnsiTheme="minorHAnsi" w:cs="Tahoma"/>
          <w:sz w:val="20"/>
          <w:szCs w:val="20"/>
        </w:rPr>
      </w:pPr>
    </w:p>
    <w:p w:rsidR="0032147B" w:rsidRPr="0032147B" w:rsidRDefault="00847EBD" w:rsidP="009628E9">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G</w:t>
      </w:r>
      <w:r w:rsidR="0032147B" w:rsidRPr="0032147B">
        <w:rPr>
          <w:rFonts w:asciiTheme="minorHAnsi" w:hAnsiTheme="minorHAnsi" w:cstheme="minorHAnsi"/>
          <w:b/>
          <w:bCs/>
          <w:kern w:val="32"/>
          <w:sz w:val="20"/>
        </w:rPr>
        <w:t xml:space="preserve">) </w:t>
      </w:r>
      <w:r w:rsidR="0032147B">
        <w:rPr>
          <w:rFonts w:asciiTheme="minorHAnsi" w:hAnsiTheme="minorHAnsi" w:cstheme="minorHAnsi"/>
          <w:b/>
          <w:bCs/>
          <w:kern w:val="32"/>
          <w:sz w:val="20"/>
        </w:rPr>
        <w:t xml:space="preserve">NÁVRH DOPRAVNÍCH ZNAČEK, DOPRAVNÍCH ZAŘÍZENÍ, SVĚTELNÝCH SIGNÁLŮ, ZAŘÍZENÍ PRO PROVOZNÍ INFORMACE A DOPRAVNÍ TELEMATIKU </w:t>
      </w:r>
    </w:p>
    <w:p w:rsidR="006F3186" w:rsidRDefault="007127A8" w:rsidP="007B6BB1">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V rámci obnovy vozovky je navrženo nové vodorovné značení. Nástřik v plastu bude proveden po vyzrání asfaltového krytu v závislosti na klimatických podmínkách. Pouze stávající přechod pro chodce</w:t>
      </w:r>
      <w:r w:rsidR="00615984">
        <w:rPr>
          <w:rFonts w:asciiTheme="minorHAnsi" w:hAnsiTheme="minorHAnsi" w:cs="Tahoma"/>
          <w:sz w:val="20"/>
          <w:szCs w:val="20"/>
        </w:rPr>
        <w:t xml:space="preserve"> V 7</w:t>
      </w:r>
      <w:r>
        <w:rPr>
          <w:rFonts w:asciiTheme="minorHAnsi" w:hAnsiTheme="minorHAnsi" w:cs="Tahoma"/>
          <w:sz w:val="20"/>
          <w:szCs w:val="20"/>
        </w:rPr>
        <w:t xml:space="preserve"> bude nastříkán v barvě ihned po dokončení a spuštění provozu. Po vyzrání povrchu, bude i stávající přechod nastříkán v plastu. </w:t>
      </w:r>
    </w:p>
    <w:p w:rsidR="007127A8" w:rsidRDefault="007127A8" w:rsidP="007B6BB1">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Vozovka je lemována novými vodícími proužky</w:t>
      </w:r>
      <w:r w:rsidR="00615984">
        <w:rPr>
          <w:rFonts w:asciiTheme="minorHAnsi" w:hAnsiTheme="minorHAnsi" w:cs="Tahoma"/>
          <w:sz w:val="20"/>
          <w:szCs w:val="20"/>
        </w:rPr>
        <w:t xml:space="preserve"> V4</w:t>
      </w:r>
      <w:r>
        <w:rPr>
          <w:rFonts w:asciiTheme="minorHAnsi" w:hAnsiTheme="minorHAnsi" w:cs="Tahoma"/>
          <w:sz w:val="20"/>
          <w:szCs w:val="20"/>
        </w:rPr>
        <w:t xml:space="preserve"> šíře 0,25m a určují konstantní šířku jízdních pruhů 2 x 3,25m. </w:t>
      </w:r>
      <w:r w:rsidR="000D5E84">
        <w:rPr>
          <w:rFonts w:asciiTheme="minorHAnsi" w:hAnsiTheme="minorHAnsi" w:cs="Tahoma"/>
          <w:sz w:val="20"/>
          <w:szCs w:val="20"/>
        </w:rPr>
        <w:t>Na začátku řešeného úseku je obnoven dopravní stín</w:t>
      </w:r>
      <w:r w:rsidR="00615984">
        <w:rPr>
          <w:rFonts w:asciiTheme="minorHAnsi" w:hAnsiTheme="minorHAnsi" w:cs="Tahoma"/>
          <w:sz w:val="20"/>
          <w:szCs w:val="20"/>
        </w:rPr>
        <w:t xml:space="preserve"> V 13a</w:t>
      </w:r>
      <w:r w:rsidR="000D5E84">
        <w:rPr>
          <w:rFonts w:asciiTheme="minorHAnsi" w:hAnsiTheme="minorHAnsi" w:cs="Tahoma"/>
          <w:sz w:val="20"/>
          <w:szCs w:val="20"/>
        </w:rPr>
        <w:t xml:space="preserve"> z předešlé etapy (</w:t>
      </w:r>
      <w:proofErr w:type="spellStart"/>
      <w:r w:rsidR="000D5E84">
        <w:rPr>
          <w:rFonts w:asciiTheme="minorHAnsi" w:hAnsiTheme="minorHAnsi" w:cs="Tahoma"/>
          <w:sz w:val="20"/>
          <w:szCs w:val="20"/>
        </w:rPr>
        <w:t>Březenecká</w:t>
      </w:r>
      <w:proofErr w:type="spellEnd"/>
      <w:r w:rsidR="000D5E84">
        <w:rPr>
          <w:rFonts w:asciiTheme="minorHAnsi" w:hAnsiTheme="minorHAnsi" w:cs="Tahoma"/>
          <w:sz w:val="20"/>
          <w:szCs w:val="20"/>
        </w:rPr>
        <w:t xml:space="preserve">) a to u dělícího ostrůvku. Na konci řešeného úseku u napojení do ulice Blatenská je nově navržena </w:t>
      </w:r>
      <w:r w:rsidR="0040264B">
        <w:rPr>
          <w:rFonts w:asciiTheme="minorHAnsi" w:hAnsiTheme="minorHAnsi" w:cs="Tahoma"/>
          <w:sz w:val="20"/>
          <w:szCs w:val="20"/>
        </w:rPr>
        <w:t>přerušovaná čára V 2b v šířce 0,25</w:t>
      </w:r>
      <w:r w:rsidR="000D5E84">
        <w:rPr>
          <w:rFonts w:asciiTheme="minorHAnsi" w:hAnsiTheme="minorHAnsi" w:cs="Tahoma"/>
          <w:sz w:val="20"/>
          <w:szCs w:val="20"/>
        </w:rPr>
        <w:t>m</w:t>
      </w:r>
      <w:r w:rsidR="0040264B">
        <w:rPr>
          <w:rFonts w:asciiTheme="minorHAnsi" w:hAnsiTheme="minorHAnsi" w:cs="Tahoma"/>
          <w:sz w:val="20"/>
          <w:szCs w:val="20"/>
        </w:rPr>
        <w:t xml:space="preserve"> a v délkách 0,5m / 0,5m</w:t>
      </w:r>
      <w:r w:rsidR="000D5E84">
        <w:rPr>
          <w:rFonts w:asciiTheme="minorHAnsi" w:hAnsiTheme="minorHAnsi" w:cs="Tahoma"/>
          <w:sz w:val="20"/>
          <w:szCs w:val="20"/>
        </w:rPr>
        <w:t>. Stávající zastávkové zálivy jsou rovněž nastříkány novým značením V 11a</w:t>
      </w:r>
      <w:r w:rsidR="0040264B">
        <w:rPr>
          <w:rFonts w:asciiTheme="minorHAnsi" w:hAnsiTheme="minorHAnsi" w:cs="Tahoma"/>
          <w:sz w:val="20"/>
          <w:szCs w:val="20"/>
        </w:rPr>
        <w:t xml:space="preserve"> délky 13,5m a šíře 2,6m, přičemž šířka zastávky je rovných 3,0m</w:t>
      </w:r>
      <w:r w:rsidR="000D5E84">
        <w:rPr>
          <w:rFonts w:asciiTheme="minorHAnsi" w:hAnsiTheme="minorHAnsi" w:cs="Tahoma"/>
          <w:sz w:val="20"/>
          <w:szCs w:val="20"/>
        </w:rPr>
        <w:t>.</w:t>
      </w:r>
      <w:r w:rsidR="00615984">
        <w:rPr>
          <w:rFonts w:asciiTheme="minorHAnsi" w:hAnsiTheme="minorHAnsi" w:cs="Tahoma"/>
          <w:sz w:val="20"/>
          <w:szCs w:val="20"/>
        </w:rPr>
        <w:t xml:space="preserve"> Vedlejší komunikace jsou odděleny přerušovanou čárou V2b</w:t>
      </w:r>
      <w:r w:rsidR="0040264B">
        <w:rPr>
          <w:rFonts w:asciiTheme="minorHAnsi" w:hAnsiTheme="minorHAnsi" w:cs="Tahoma"/>
          <w:sz w:val="20"/>
          <w:szCs w:val="20"/>
        </w:rPr>
        <w:t xml:space="preserve"> šíře 0,25m a délky 0,5m / 0,5m</w:t>
      </w:r>
      <w:r w:rsidR="00615984">
        <w:rPr>
          <w:rFonts w:asciiTheme="minorHAnsi" w:hAnsiTheme="minorHAnsi" w:cs="Tahoma"/>
          <w:sz w:val="20"/>
          <w:szCs w:val="20"/>
        </w:rPr>
        <w:t>.</w:t>
      </w:r>
    </w:p>
    <w:p w:rsidR="00B90706" w:rsidRDefault="00B90706" w:rsidP="007B6BB1">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 xml:space="preserve">Bude rovněž osazena jedna svislá dopravní značka P2 a zrušena dodatková tabulka „tvar křižovatky“. Viz výše. </w:t>
      </w:r>
    </w:p>
    <w:p w:rsidR="00EF370D" w:rsidRDefault="00EF370D" w:rsidP="009628E9">
      <w:pPr>
        <w:pStyle w:val="cc"/>
        <w:spacing w:before="0" w:beforeAutospacing="0" w:after="0" w:afterAutospacing="0" w:line="360" w:lineRule="auto"/>
        <w:jc w:val="both"/>
        <w:rPr>
          <w:rFonts w:asciiTheme="minorHAnsi" w:hAnsiTheme="minorHAnsi" w:cs="Tahoma"/>
          <w:sz w:val="20"/>
          <w:szCs w:val="20"/>
        </w:rPr>
      </w:pPr>
    </w:p>
    <w:p w:rsidR="00AA7230" w:rsidRPr="004A7DAE" w:rsidRDefault="00847EBD" w:rsidP="009628E9">
      <w:pPr>
        <w:pStyle w:val="NormlnIMP"/>
        <w:spacing w:line="360" w:lineRule="auto"/>
        <w:jc w:val="both"/>
        <w:rPr>
          <w:b/>
        </w:rPr>
      </w:pPr>
      <w:r>
        <w:rPr>
          <w:rFonts w:asciiTheme="minorHAnsi" w:hAnsiTheme="minorHAnsi" w:cstheme="minorHAnsi"/>
          <w:b/>
          <w:bCs/>
          <w:kern w:val="32"/>
          <w:sz w:val="20"/>
        </w:rPr>
        <w:t>H</w:t>
      </w:r>
      <w:r w:rsidR="00EF370D" w:rsidRPr="00EF370D">
        <w:rPr>
          <w:rFonts w:asciiTheme="minorHAnsi" w:hAnsiTheme="minorHAnsi" w:cstheme="minorHAnsi"/>
          <w:b/>
          <w:bCs/>
          <w:kern w:val="32"/>
          <w:sz w:val="20"/>
        </w:rPr>
        <w:t xml:space="preserve">) </w:t>
      </w:r>
      <w:r w:rsidR="00EF370D">
        <w:rPr>
          <w:rFonts w:asciiTheme="minorHAnsi" w:hAnsiTheme="minorHAnsi" w:cstheme="minorHAnsi"/>
          <w:b/>
          <w:bCs/>
          <w:kern w:val="32"/>
          <w:sz w:val="20"/>
        </w:rPr>
        <w:t>ZVLÁŠTNÍ PODMÍNKY A POŽADAVKY NA POSTUP VÝSTAVBY, PŘÍPADNĚ ÚDRŽBU</w:t>
      </w:r>
      <w:r w:rsidR="00AA7230" w:rsidRPr="004A7DAE">
        <w:rPr>
          <w:b/>
        </w:rPr>
        <w:t xml:space="preserve">  </w:t>
      </w:r>
    </w:p>
    <w:p w:rsidR="001122C2" w:rsidRPr="001122C2" w:rsidRDefault="001122C2" w:rsidP="009628E9">
      <w:pPr>
        <w:pStyle w:val="cc"/>
        <w:spacing w:before="0" w:beforeAutospacing="0" w:after="0" w:afterAutospacing="0" w:line="360" w:lineRule="auto"/>
        <w:jc w:val="both"/>
        <w:rPr>
          <w:rFonts w:asciiTheme="minorHAnsi" w:hAnsiTheme="minorHAnsi" w:cs="Tahoma"/>
          <w:sz w:val="20"/>
          <w:szCs w:val="20"/>
        </w:rPr>
      </w:pPr>
      <w:r w:rsidRPr="001122C2">
        <w:rPr>
          <w:rFonts w:asciiTheme="minorHAnsi" w:hAnsiTheme="minorHAnsi" w:cs="Tahoma"/>
          <w:sz w:val="20"/>
          <w:szCs w:val="20"/>
        </w:rPr>
        <w:t xml:space="preserve">Staveniště bude </w:t>
      </w:r>
      <w:r w:rsidR="00987187">
        <w:rPr>
          <w:rFonts w:asciiTheme="minorHAnsi" w:hAnsiTheme="minorHAnsi" w:cs="Tahoma"/>
          <w:sz w:val="20"/>
          <w:szCs w:val="20"/>
        </w:rPr>
        <w:t xml:space="preserve">přístupné po stávajících komunikacích </w:t>
      </w:r>
      <w:proofErr w:type="spellStart"/>
      <w:r w:rsidR="00987187">
        <w:rPr>
          <w:rFonts w:asciiTheme="minorHAnsi" w:hAnsiTheme="minorHAnsi" w:cs="Tahoma"/>
          <w:sz w:val="20"/>
          <w:szCs w:val="20"/>
        </w:rPr>
        <w:t>Březenecká</w:t>
      </w:r>
      <w:proofErr w:type="spellEnd"/>
      <w:r w:rsidR="00987187">
        <w:rPr>
          <w:rFonts w:asciiTheme="minorHAnsi" w:hAnsiTheme="minorHAnsi" w:cs="Tahoma"/>
          <w:sz w:val="20"/>
          <w:szCs w:val="20"/>
        </w:rPr>
        <w:t xml:space="preserve"> a Blatenská</w:t>
      </w:r>
      <w:r w:rsidRPr="001122C2">
        <w:rPr>
          <w:rFonts w:asciiTheme="minorHAnsi" w:hAnsiTheme="minorHAnsi" w:cs="Tahoma"/>
          <w:sz w:val="20"/>
          <w:szCs w:val="20"/>
        </w:rPr>
        <w:t xml:space="preserve">. </w:t>
      </w:r>
    </w:p>
    <w:p w:rsidR="00AA7230" w:rsidRPr="00EF370D" w:rsidRDefault="001122C2" w:rsidP="00775739">
      <w:pPr>
        <w:spacing w:line="360" w:lineRule="auto"/>
        <w:jc w:val="both"/>
        <w:rPr>
          <w:rFonts w:asciiTheme="minorHAnsi" w:hAnsiTheme="minorHAnsi"/>
        </w:rPr>
      </w:pPr>
      <w:r w:rsidRPr="001122C2">
        <w:rPr>
          <w:rFonts w:asciiTheme="minorHAnsi" w:hAnsiTheme="minorHAnsi"/>
        </w:rPr>
        <w:t>Po dobu výstavby bude</w:t>
      </w:r>
      <w:r w:rsidR="00775739">
        <w:rPr>
          <w:rFonts w:asciiTheme="minorHAnsi" w:hAnsiTheme="minorHAnsi"/>
        </w:rPr>
        <w:t xml:space="preserve"> dotčený úsek uzavřen. </w:t>
      </w:r>
      <w:r w:rsidR="00775739" w:rsidRPr="00775739">
        <w:rPr>
          <w:rFonts w:asciiTheme="minorHAnsi" w:hAnsiTheme="minorHAnsi"/>
        </w:rPr>
        <w:t xml:space="preserve">Pracovní místa budou vyznačena. Uzavírka jednotlivých úseků bude vyznačena s dostatečným předstihem. </w:t>
      </w:r>
      <w:r w:rsidRPr="001122C2">
        <w:rPr>
          <w:rFonts w:asciiTheme="minorHAnsi" w:hAnsiTheme="minorHAnsi"/>
        </w:rPr>
        <w:t xml:space="preserve"> Provedení, rozměry a umístění dopravních značek bude odpovídat ČSN 018020 a TP66. </w:t>
      </w:r>
    </w:p>
    <w:p w:rsidR="003425DA" w:rsidRDefault="00AA7230" w:rsidP="00775739">
      <w:pPr>
        <w:spacing w:line="360" w:lineRule="auto"/>
        <w:jc w:val="both"/>
        <w:rPr>
          <w:rFonts w:asciiTheme="minorHAnsi" w:hAnsiTheme="minorHAnsi"/>
        </w:rPr>
      </w:pPr>
      <w:r w:rsidRPr="00EF370D">
        <w:rPr>
          <w:rFonts w:asciiTheme="minorHAnsi" w:hAnsiTheme="minorHAnsi"/>
        </w:rPr>
        <w:t>Zhotovitel stavby v průběhu stavebních prací musí umožnit bezpečný a plynulý provoz v okolí pracovního místa.</w:t>
      </w:r>
    </w:p>
    <w:p w:rsidR="00AA7230" w:rsidRPr="00EF370D" w:rsidRDefault="00AA7230" w:rsidP="00775739">
      <w:pPr>
        <w:spacing w:line="360" w:lineRule="auto"/>
        <w:jc w:val="both"/>
        <w:rPr>
          <w:rFonts w:asciiTheme="minorHAnsi" w:hAnsiTheme="minorHAnsi"/>
        </w:rPr>
      </w:pPr>
      <w:r w:rsidRPr="00EF370D">
        <w:rPr>
          <w:rFonts w:asciiTheme="minorHAnsi" w:hAnsiTheme="minorHAnsi"/>
        </w:rPr>
        <w:t xml:space="preserve">      </w:t>
      </w:r>
    </w:p>
    <w:p w:rsidR="004B3431" w:rsidRDefault="00AA7230" w:rsidP="004B3431">
      <w:pPr>
        <w:spacing w:line="360" w:lineRule="auto"/>
        <w:jc w:val="both"/>
        <w:rPr>
          <w:rFonts w:asciiTheme="minorHAnsi" w:hAnsiTheme="minorHAnsi"/>
        </w:rPr>
      </w:pPr>
      <w:r w:rsidRPr="00EF370D">
        <w:rPr>
          <w:rFonts w:asciiTheme="minorHAnsi" w:hAnsiTheme="minorHAnsi"/>
        </w:rPr>
        <w:t>Pro výstavbu dané komunikace se neuvažuje se zajištěním vody a energie v místě stavby, charakter stavby toto nepředpokládá, veškerý stavební materiál bude na stavbu přivážen dle aktuální potřeby. Zařízení</w:t>
      </w:r>
      <w:r w:rsidR="00B10E80">
        <w:rPr>
          <w:rFonts w:asciiTheme="minorHAnsi" w:hAnsiTheme="minorHAnsi"/>
        </w:rPr>
        <w:t xml:space="preserve"> staveniště bude tedy minimální.</w:t>
      </w:r>
      <w:r w:rsidR="00462835">
        <w:rPr>
          <w:rFonts w:asciiTheme="minorHAnsi" w:hAnsiTheme="minorHAnsi"/>
        </w:rPr>
        <w:t xml:space="preserve"> Možné </w:t>
      </w:r>
      <w:proofErr w:type="spellStart"/>
      <w:r w:rsidR="00462835">
        <w:rPr>
          <w:rFonts w:asciiTheme="minorHAnsi" w:hAnsiTheme="minorHAnsi"/>
        </w:rPr>
        <w:t>deponie</w:t>
      </w:r>
      <w:proofErr w:type="spellEnd"/>
      <w:r w:rsidR="00462835">
        <w:rPr>
          <w:rFonts w:asciiTheme="minorHAnsi" w:hAnsiTheme="minorHAnsi"/>
        </w:rPr>
        <w:t xml:space="preserve"> a parkování mechanizace je možné na parkovišti za základní školou.</w:t>
      </w:r>
      <w:r w:rsidR="00B10E80">
        <w:rPr>
          <w:rFonts w:asciiTheme="minorHAnsi" w:hAnsiTheme="minorHAnsi"/>
        </w:rPr>
        <w:t xml:space="preserve"> </w:t>
      </w:r>
      <w:r w:rsidRPr="00EF370D">
        <w:rPr>
          <w:rFonts w:asciiTheme="minorHAnsi" w:hAnsiTheme="minorHAnsi"/>
        </w:rPr>
        <w:t>Staveniště nebude oploceno.</w:t>
      </w:r>
    </w:p>
    <w:p w:rsidR="004B3431" w:rsidRDefault="004B3431" w:rsidP="004B3431">
      <w:pPr>
        <w:spacing w:line="360" w:lineRule="auto"/>
        <w:jc w:val="both"/>
        <w:rPr>
          <w:rFonts w:asciiTheme="minorHAnsi" w:hAnsiTheme="minorHAnsi"/>
        </w:rPr>
      </w:pPr>
    </w:p>
    <w:p w:rsidR="00AA7230" w:rsidRPr="00EF370D" w:rsidRDefault="00AA7230" w:rsidP="004B3431">
      <w:pPr>
        <w:spacing w:line="360" w:lineRule="auto"/>
        <w:jc w:val="both"/>
        <w:rPr>
          <w:rFonts w:asciiTheme="minorHAnsi" w:hAnsiTheme="minorHAnsi"/>
        </w:rPr>
      </w:pPr>
      <w:r w:rsidRPr="00EF370D">
        <w:rPr>
          <w:rFonts w:asciiTheme="minorHAnsi" w:hAnsiTheme="minorHAnsi"/>
        </w:rPr>
        <w:t>Podmínky provádění stavby:  Dodavatel stavby zajistí, aby vlivem stavebních prací prováděných na stavbě nedošlo k ohrožení dotčené silnice a provozu na ní. Zařízení staveniště a případné skládky materiálu budou umístěny na vhodném místě. Při stavebních pracích je nutno zajistit následující opatření proti nadměrné prašnosti:</w:t>
      </w:r>
    </w:p>
    <w:p w:rsidR="00AA7230" w:rsidRPr="00EF370D" w:rsidRDefault="00AA7230" w:rsidP="004B3431">
      <w:pPr>
        <w:pStyle w:val="cc"/>
        <w:numPr>
          <w:ilvl w:val="0"/>
          <w:numId w:val="48"/>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lastRenderedPageBreak/>
        <w:t>vozidla vyjíždějící ze stavby musí být řádně očištěna, aby nedocházelo ke znečišťování veřejných komunikací</w:t>
      </w:r>
    </w:p>
    <w:p w:rsidR="00AA7230" w:rsidRPr="00EF370D" w:rsidRDefault="00AA7230" w:rsidP="004B3431">
      <w:pPr>
        <w:pStyle w:val="cc"/>
        <w:numPr>
          <w:ilvl w:val="0"/>
          <w:numId w:val="48"/>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případné znečištění vozovky musí být bez průtahů odstraněno a vozovka uvedena do původního stavu</w:t>
      </w:r>
    </w:p>
    <w:p w:rsidR="00AA7230" w:rsidRPr="00EF370D" w:rsidRDefault="00AA7230" w:rsidP="004B3431">
      <w:pPr>
        <w:pStyle w:val="cc"/>
        <w:numPr>
          <w:ilvl w:val="0"/>
          <w:numId w:val="48"/>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vozidla dopravující sypké materiály musí používat k zakrytí hmot plachty</w:t>
      </w:r>
    </w:p>
    <w:p w:rsidR="00AA7230" w:rsidRPr="00EF370D" w:rsidRDefault="00AA7230" w:rsidP="004B3431">
      <w:pPr>
        <w:pStyle w:val="cc"/>
        <w:numPr>
          <w:ilvl w:val="0"/>
          <w:numId w:val="48"/>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odkrytou stavební plochu je nutno v případě zvýšené prašnosti zkrápět</w:t>
      </w:r>
    </w:p>
    <w:p w:rsidR="00AA7230"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Vlastní opatření budou záviset na povětrnostních podmínkách a v rámci výstavby budou k tomu přijímána patřičná opatření.</w:t>
      </w:r>
    </w:p>
    <w:p w:rsidR="00E05F94" w:rsidRDefault="00E05F94" w:rsidP="00EF370D">
      <w:pPr>
        <w:pStyle w:val="cc"/>
        <w:spacing w:before="0" w:beforeAutospacing="0" w:after="0" w:afterAutospacing="0" w:line="360" w:lineRule="auto"/>
        <w:jc w:val="both"/>
        <w:rPr>
          <w:rFonts w:asciiTheme="minorHAnsi" w:hAnsiTheme="minorHAnsi" w:cs="Tahoma"/>
          <w:sz w:val="20"/>
          <w:szCs w:val="20"/>
        </w:rPr>
      </w:pPr>
    </w:p>
    <w:p w:rsidR="00E05F94" w:rsidRPr="00E05F94" w:rsidRDefault="00E05F94" w:rsidP="00E05F94">
      <w:pPr>
        <w:pStyle w:val="cc"/>
        <w:spacing w:before="0" w:beforeAutospacing="0" w:after="0" w:afterAutospacing="0" w:line="360" w:lineRule="auto"/>
        <w:jc w:val="both"/>
        <w:rPr>
          <w:rFonts w:asciiTheme="minorHAnsi" w:hAnsiTheme="minorHAnsi" w:cs="Tahoma"/>
          <w:sz w:val="20"/>
          <w:szCs w:val="20"/>
        </w:rPr>
      </w:pPr>
      <w:r w:rsidRPr="00E05F94">
        <w:rPr>
          <w:rFonts w:asciiTheme="minorHAnsi" w:hAnsiTheme="minorHAnsi" w:cs="Tahoma"/>
          <w:sz w:val="20"/>
          <w:szCs w:val="20"/>
        </w:rPr>
        <w:t xml:space="preserve">Stávající dřeviny v blízkosti </w:t>
      </w:r>
      <w:r>
        <w:rPr>
          <w:rFonts w:asciiTheme="minorHAnsi" w:hAnsiTheme="minorHAnsi" w:cs="Tahoma"/>
          <w:sz w:val="20"/>
          <w:szCs w:val="20"/>
        </w:rPr>
        <w:t>stavby</w:t>
      </w:r>
      <w:r w:rsidRPr="00E05F94">
        <w:rPr>
          <w:rFonts w:asciiTheme="minorHAnsi" w:hAnsiTheme="minorHAnsi" w:cs="Tahoma"/>
          <w:sz w:val="20"/>
          <w:szCs w:val="20"/>
        </w:rPr>
        <w:t xml:space="preserve"> budou během výstavby ochráněny dle ČSN 836091 Technologie vegetačních úprav v krajině – ochrana stromů, porostů, vegetačních ploch při stavebních pracích.</w:t>
      </w:r>
    </w:p>
    <w:p w:rsidR="00AA7230"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         </w:t>
      </w:r>
    </w:p>
    <w:p w:rsidR="00AA7230"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Před zahájením stavebních prací musí být přesně vytýčena trasa všech sítí. Zákres sítí je pouze orientační. Správci jednotlivých sítí budou informováni s předstihem 15 dnů o zahájení prací. Investor se bude dále řídit pokyny a podmínkami správců těchto vedení.</w:t>
      </w:r>
    </w:p>
    <w:p w:rsidR="00833A7F" w:rsidRPr="00EF370D" w:rsidRDefault="00833A7F" w:rsidP="00EF370D">
      <w:pPr>
        <w:pStyle w:val="cc"/>
        <w:spacing w:before="0" w:beforeAutospacing="0" w:after="0" w:afterAutospacing="0" w:line="360" w:lineRule="auto"/>
        <w:jc w:val="both"/>
        <w:rPr>
          <w:rFonts w:asciiTheme="minorHAnsi" w:hAnsiTheme="minorHAnsi" w:cs="Tahoma"/>
          <w:sz w:val="20"/>
          <w:szCs w:val="20"/>
        </w:rPr>
      </w:pP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Všechny práce budou prováděny podle platných </w:t>
      </w:r>
      <w:proofErr w:type="gramStart"/>
      <w:r w:rsidRPr="00EF370D">
        <w:rPr>
          <w:rFonts w:asciiTheme="minorHAnsi" w:hAnsiTheme="minorHAnsi" w:cs="Tahoma"/>
          <w:sz w:val="20"/>
          <w:szCs w:val="20"/>
        </w:rPr>
        <w:t>předpisů  a</w:t>
      </w:r>
      <w:proofErr w:type="gramEnd"/>
      <w:r w:rsidRPr="00EF370D">
        <w:rPr>
          <w:rFonts w:asciiTheme="minorHAnsi" w:hAnsiTheme="minorHAnsi" w:cs="Tahoma"/>
          <w:sz w:val="20"/>
          <w:szCs w:val="20"/>
        </w:rPr>
        <w:t xml:space="preserve"> ČSN a za dodržení platných předpisů o ochraně zdraví a bezpečnosti při práci, především bude brán zřetel na ustanovení zák.č.</w:t>
      </w:r>
      <w:r w:rsidR="00080BB9">
        <w:rPr>
          <w:rFonts w:asciiTheme="minorHAnsi" w:hAnsiTheme="minorHAnsi" w:cs="Tahoma"/>
          <w:sz w:val="20"/>
          <w:szCs w:val="20"/>
        </w:rPr>
        <w:t>309/2006 Sb., ZP č.262/2006 Sb.</w:t>
      </w: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Pro práci v ochranných pásmech energetického vedení je zadavatel stavby povinen zajistit zpracování plánu BOZP. Všichni pracovníci budou proškoleni a přezkoušeni z bezpečnostních předpisů, budou vybaveni ochrannými pomůckami a musí dbát na to, aby tyto pomůcky byly udržovány v provozuschopném stavu. Pracovníci musí dodržovat provozní, bezpečnostní a hygienické předpisy. Pracovníci obsluhující strojní park musí být proškoleni o údržbě a bezpečnostních předpisech provozu těchto strojů. Zvýšené opatrnosti je třeba dbát při provádění výkopových prací v blízkosti křížení nebo souběhu s inženýrskými sítěmi. Dodržování bezpečnostních předpisů na stavbě bude věcí prováděcí firmy. </w:t>
      </w: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Veškeré odpady vzniklé v průběhu stavby budou zneškodňovány vytříděné podle druhů a kategorizace odpadů dle </w:t>
      </w:r>
      <w:proofErr w:type="spellStart"/>
      <w:r w:rsidRPr="00EF370D">
        <w:rPr>
          <w:rFonts w:asciiTheme="minorHAnsi" w:hAnsiTheme="minorHAnsi" w:cs="Tahoma"/>
          <w:sz w:val="20"/>
          <w:szCs w:val="20"/>
        </w:rPr>
        <w:t>vyhl</w:t>
      </w:r>
      <w:proofErr w:type="spellEnd"/>
      <w:r w:rsidRPr="00EF370D">
        <w:rPr>
          <w:rFonts w:asciiTheme="minorHAnsi" w:hAnsiTheme="minorHAnsi" w:cs="Tahoma"/>
          <w:sz w:val="20"/>
          <w:szCs w:val="20"/>
        </w:rPr>
        <w:t>. MŽP ČR č.</w:t>
      </w:r>
      <w:r w:rsidR="00131B6D">
        <w:rPr>
          <w:rFonts w:asciiTheme="minorHAnsi" w:hAnsiTheme="minorHAnsi" w:cs="Tahoma"/>
          <w:sz w:val="20"/>
          <w:szCs w:val="20"/>
        </w:rPr>
        <w:t>9</w:t>
      </w:r>
      <w:r w:rsidRPr="00EF370D">
        <w:rPr>
          <w:rFonts w:asciiTheme="minorHAnsi" w:hAnsiTheme="minorHAnsi" w:cs="Tahoma"/>
          <w:sz w:val="20"/>
          <w:szCs w:val="20"/>
        </w:rPr>
        <w:t>3/20</w:t>
      </w:r>
      <w:r w:rsidR="00131B6D">
        <w:rPr>
          <w:rFonts w:asciiTheme="minorHAnsi" w:hAnsiTheme="minorHAnsi" w:cs="Tahoma"/>
          <w:sz w:val="20"/>
          <w:szCs w:val="20"/>
        </w:rPr>
        <w:t>16</w:t>
      </w:r>
      <w:r w:rsidRPr="00EF370D">
        <w:rPr>
          <w:rFonts w:asciiTheme="minorHAnsi" w:hAnsiTheme="minorHAnsi" w:cs="Tahoma"/>
          <w:sz w:val="20"/>
          <w:szCs w:val="20"/>
        </w:rPr>
        <w:t xml:space="preserve"> Sb. </w:t>
      </w:r>
      <w:r w:rsidR="00131B6D">
        <w:rPr>
          <w:rFonts w:asciiTheme="minorHAnsi" w:hAnsiTheme="minorHAnsi" w:cs="Tahoma"/>
          <w:sz w:val="20"/>
          <w:szCs w:val="20"/>
        </w:rPr>
        <w:t>p</w:t>
      </w:r>
      <w:r w:rsidRPr="00EF370D">
        <w:rPr>
          <w:rFonts w:asciiTheme="minorHAnsi" w:hAnsiTheme="minorHAnsi" w:cs="Tahoma"/>
          <w:sz w:val="20"/>
          <w:szCs w:val="20"/>
        </w:rPr>
        <w:t>rostřednictvím oprávněných fyzických nebo právnických osob, na zařízeních k tomu určených a technicky způsobilých, v souladu se zák. č.185/2001 Sb. V případě vzniku nebezpečných odpadů nakládat s nimi dle zákona č.185/2001 Sb.</w:t>
      </w:r>
    </w:p>
    <w:p w:rsidR="000119CF" w:rsidRDefault="000119CF" w:rsidP="000119CF">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O stavbě musí být veden stavební deník se všemi náležitostmi.</w:t>
      </w:r>
    </w:p>
    <w:p w:rsidR="007A5B54" w:rsidRDefault="007A5B54" w:rsidP="00291304">
      <w:pPr>
        <w:pStyle w:val="cc"/>
        <w:spacing w:before="0" w:beforeAutospacing="0" w:after="0" w:afterAutospacing="0" w:line="360" w:lineRule="auto"/>
        <w:jc w:val="both"/>
        <w:rPr>
          <w:rFonts w:asciiTheme="minorHAnsi" w:hAnsiTheme="minorHAnsi" w:cs="Tahoma"/>
          <w:sz w:val="20"/>
          <w:szCs w:val="20"/>
        </w:rPr>
      </w:pPr>
    </w:p>
    <w:p w:rsidR="001D526C" w:rsidRDefault="001D526C" w:rsidP="00291304">
      <w:pPr>
        <w:pStyle w:val="cc"/>
        <w:spacing w:before="0" w:beforeAutospacing="0" w:after="0" w:afterAutospacing="0" w:line="360" w:lineRule="auto"/>
        <w:jc w:val="both"/>
        <w:rPr>
          <w:rFonts w:asciiTheme="minorHAnsi" w:hAnsiTheme="minorHAnsi" w:cs="Tahoma"/>
          <w:sz w:val="20"/>
          <w:szCs w:val="20"/>
        </w:rPr>
      </w:pPr>
    </w:p>
    <w:p w:rsidR="001B53AF" w:rsidRDefault="00291304" w:rsidP="00291304">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I</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VAZBA NA PŘÍPADNÉ TECHNOLOGICKÉ VYBAVENÍ</w:t>
      </w:r>
    </w:p>
    <w:p w:rsidR="001B53AF" w:rsidRPr="007A5B54" w:rsidRDefault="007A5B54" w:rsidP="00291304">
      <w:pPr>
        <w:pStyle w:val="NormlnIMP"/>
        <w:spacing w:line="360" w:lineRule="auto"/>
        <w:jc w:val="both"/>
        <w:rPr>
          <w:rFonts w:asciiTheme="minorHAnsi" w:hAnsiTheme="minorHAnsi" w:cs="Tahoma"/>
          <w:sz w:val="20"/>
        </w:rPr>
      </w:pPr>
      <w:r w:rsidRPr="007A5B54">
        <w:rPr>
          <w:rFonts w:asciiTheme="minorHAnsi" w:hAnsiTheme="minorHAnsi" w:cs="Tahoma"/>
          <w:sz w:val="20"/>
        </w:rPr>
        <w:t>Není řešeno.</w:t>
      </w:r>
    </w:p>
    <w:p w:rsidR="00E95ECE" w:rsidRDefault="00E95ECE" w:rsidP="00291304">
      <w:pPr>
        <w:pStyle w:val="NormlnIMP"/>
        <w:spacing w:line="360" w:lineRule="auto"/>
        <w:jc w:val="both"/>
        <w:rPr>
          <w:rFonts w:asciiTheme="minorHAnsi" w:hAnsiTheme="minorHAnsi" w:cstheme="minorHAnsi"/>
          <w:b/>
          <w:bCs/>
          <w:kern w:val="32"/>
          <w:sz w:val="20"/>
        </w:rPr>
      </w:pPr>
    </w:p>
    <w:p w:rsidR="001B53AF" w:rsidRDefault="00291304" w:rsidP="00291304">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J</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 xml:space="preserve">PŘEHLED PROVEDENÝCH VÝPOČTŮ A KONSTATOVÁNÍ O STATICKÉM OVĚŘENÍ ROZHODUJÍCÍCH DIMENZÍ A PRŮŘEZŮ </w:t>
      </w:r>
    </w:p>
    <w:p w:rsidR="007A5B54" w:rsidRPr="007A5B54" w:rsidRDefault="007A5B54" w:rsidP="00291304">
      <w:pPr>
        <w:pStyle w:val="NormlnIMP"/>
        <w:spacing w:line="360" w:lineRule="auto"/>
        <w:jc w:val="both"/>
        <w:rPr>
          <w:rFonts w:asciiTheme="minorHAnsi" w:hAnsiTheme="minorHAnsi" w:cs="Tahoma"/>
          <w:sz w:val="20"/>
        </w:rPr>
      </w:pPr>
      <w:r w:rsidRPr="007A5B54">
        <w:rPr>
          <w:rFonts w:asciiTheme="minorHAnsi" w:hAnsiTheme="minorHAnsi" w:cs="Tahoma"/>
          <w:sz w:val="20"/>
        </w:rPr>
        <w:lastRenderedPageBreak/>
        <w:t>Není řešeno.</w:t>
      </w:r>
    </w:p>
    <w:p w:rsidR="00DB0C64" w:rsidRDefault="00DB0C64" w:rsidP="00291304">
      <w:pPr>
        <w:pStyle w:val="NormlnIMP"/>
        <w:spacing w:line="360" w:lineRule="auto"/>
        <w:jc w:val="both"/>
        <w:rPr>
          <w:rFonts w:asciiTheme="minorHAnsi" w:hAnsiTheme="minorHAnsi" w:cstheme="minorHAnsi"/>
          <w:b/>
          <w:bCs/>
          <w:kern w:val="32"/>
          <w:sz w:val="20"/>
        </w:rPr>
      </w:pPr>
    </w:p>
    <w:p w:rsidR="00FB3739" w:rsidRDefault="00FB3739" w:rsidP="00291304">
      <w:pPr>
        <w:pStyle w:val="NormlnIMP"/>
        <w:spacing w:line="360" w:lineRule="auto"/>
        <w:jc w:val="both"/>
        <w:rPr>
          <w:rFonts w:asciiTheme="minorHAnsi" w:hAnsiTheme="minorHAnsi" w:cstheme="minorHAnsi"/>
          <w:b/>
          <w:bCs/>
          <w:kern w:val="32"/>
          <w:sz w:val="20"/>
        </w:rPr>
      </w:pPr>
    </w:p>
    <w:p w:rsidR="00AA7230" w:rsidRDefault="00291304" w:rsidP="00291304">
      <w:pPr>
        <w:pStyle w:val="NormlnIMP"/>
        <w:spacing w:line="360" w:lineRule="auto"/>
        <w:jc w:val="both"/>
        <w:rPr>
          <w:color w:val="000000"/>
        </w:rPr>
      </w:pPr>
      <w:r>
        <w:rPr>
          <w:rFonts w:asciiTheme="minorHAnsi" w:hAnsiTheme="minorHAnsi" w:cstheme="minorHAnsi"/>
          <w:b/>
          <w:bCs/>
          <w:kern w:val="32"/>
          <w:sz w:val="20"/>
        </w:rPr>
        <w:t>K</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ŘEŠENÍ PŘÍSTUPU A UŽÍVÁNÍ VEŘEJNĚ PŘÍSTUPNÝCH KOMUNIKACÍ A PLOCH SOUVISEJÍCÍCH SE STANVIŠTĚM SOBAMI S OMEZENOU SCHOPNOSTÍ POHYBU A ORIENTACE</w:t>
      </w:r>
    </w:p>
    <w:bookmarkEnd w:id="0"/>
    <w:bookmarkEnd w:id="1"/>
    <w:p w:rsidR="00C1200E" w:rsidRDefault="00C1200E" w:rsidP="00C1200E">
      <w:pPr>
        <w:pStyle w:val="cc"/>
        <w:spacing w:before="0" w:beforeAutospacing="0" w:after="0" w:afterAutospacing="0" w:line="360" w:lineRule="auto"/>
        <w:jc w:val="both"/>
        <w:rPr>
          <w:rFonts w:asciiTheme="minorHAnsi" w:hAnsiTheme="minorHAnsi" w:cs="Tahoma"/>
          <w:sz w:val="20"/>
          <w:szCs w:val="20"/>
        </w:rPr>
      </w:pPr>
      <w:r w:rsidRPr="00C1200E">
        <w:rPr>
          <w:rFonts w:asciiTheme="minorHAnsi" w:hAnsiTheme="minorHAnsi" w:cs="Tahoma"/>
          <w:sz w:val="20"/>
          <w:szCs w:val="20"/>
        </w:rPr>
        <w:t xml:space="preserve">Bezbariérové řešení bude provedeno dle vyhlášky 398/2009 Sb. „O obecných technických požadavcích zabezpečujících bezbariérové užívání staveb“. </w:t>
      </w:r>
      <w:r w:rsidR="00742B50">
        <w:rPr>
          <w:rFonts w:asciiTheme="minorHAnsi" w:hAnsiTheme="minorHAnsi" w:cs="Tahoma"/>
          <w:sz w:val="20"/>
          <w:szCs w:val="20"/>
        </w:rPr>
        <w:t>Grafické znázornění je v příloze „Vzorové řezy + detaily“.</w:t>
      </w:r>
    </w:p>
    <w:p w:rsidR="00261E17" w:rsidRDefault="00261E17" w:rsidP="00C1200E">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V rámci projektu je řešeno:</w:t>
      </w:r>
    </w:p>
    <w:p w:rsidR="003F6E5B" w:rsidRDefault="003F6E5B" w:rsidP="00C1200E">
      <w:pPr>
        <w:pStyle w:val="cc"/>
        <w:spacing w:before="0" w:beforeAutospacing="0" w:after="0" w:afterAutospacing="0" w:line="360" w:lineRule="auto"/>
        <w:jc w:val="both"/>
        <w:rPr>
          <w:rFonts w:asciiTheme="minorHAnsi" w:hAnsiTheme="minorHAnsi" w:cs="Tahoma"/>
          <w:sz w:val="20"/>
          <w:szCs w:val="20"/>
        </w:rPr>
      </w:pPr>
    </w:p>
    <w:p w:rsidR="003F6E5B" w:rsidRPr="003F6E5B" w:rsidRDefault="003F6E5B" w:rsidP="00C1200E">
      <w:pPr>
        <w:pStyle w:val="cc"/>
        <w:spacing w:before="0" w:beforeAutospacing="0" w:after="0" w:afterAutospacing="0" w:line="360" w:lineRule="auto"/>
        <w:jc w:val="both"/>
        <w:rPr>
          <w:rFonts w:asciiTheme="minorHAnsi" w:hAnsiTheme="minorHAnsi" w:cs="Tahoma"/>
          <w:sz w:val="20"/>
          <w:szCs w:val="20"/>
          <w:u w:val="single"/>
        </w:rPr>
      </w:pPr>
      <w:r>
        <w:rPr>
          <w:rFonts w:asciiTheme="minorHAnsi" w:hAnsiTheme="minorHAnsi" w:cs="Tahoma"/>
          <w:sz w:val="20"/>
          <w:szCs w:val="20"/>
          <w:u w:val="single"/>
        </w:rPr>
        <w:t>Chodníky</w:t>
      </w:r>
    </w:p>
    <w:p w:rsidR="003F6E5B" w:rsidRDefault="003F6E5B" w:rsidP="00C1200E">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Jsou navrženy v příčném sklonu 0,5 – 2,0%, podélný sklon nepřevyšuje 8,33%.</w:t>
      </w:r>
      <w:r w:rsidR="0017161B">
        <w:rPr>
          <w:rFonts w:asciiTheme="minorHAnsi" w:hAnsiTheme="minorHAnsi" w:cs="Tahoma"/>
          <w:sz w:val="20"/>
          <w:szCs w:val="20"/>
        </w:rPr>
        <w:t xml:space="preserve"> Šířka chodníku je min. 1,5m.</w:t>
      </w:r>
    </w:p>
    <w:p w:rsidR="003F6E5B" w:rsidRDefault="003F6E5B" w:rsidP="00C1200E">
      <w:pPr>
        <w:pStyle w:val="cc"/>
        <w:spacing w:before="0" w:beforeAutospacing="0" w:after="0" w:afterAutospacing="0" w:line="360" w:lineRule="auto"/>
        <w:jc w:val="both"/>
        <w:rPr>
          <w:rFonts w:asciiTheme="minorHAnsi" w:hAnsiTheme="minorHAnsi" w:cs="Tahoma"/>
          <w:sz w:val="20"/>
          <w:szCs w:val="20"/>
        </w:rPr>
      </w:pPr>
    </w:p>
    <w:p w:rsidR="00261E17" w:rsidRPr="00261E17" w:rsidRDefault="00261E17" w:rsidP="00C1200E">
      <w:pPr>
        <w:pStyle w:val="cc"/>
        <w:spacing w:before="0" w:beforeAutospacing="0" w:after="0" w:afterAutospacing="0" w:line="360" w:lineRule="auto"/>
        <w:jc w:val="both"/>
        <w:rPr>
          <w:rFonts w:asciiTheme="minorHAnsi" w:hAnsiTheme="minorHAnsi" w:cs="Tahoma"/>
          <w:sz w:val="20"/>
          <w:szCs w:val="20"/>
          <w:u w:val="single"/>
        </w:rPr>
      </w:pPr>
      <w:r w:rsidRPr="00261E17">
        <w:rPr>
          <w:rFonts w:asciiTheme="minorHAnsi" w:hAnsiTheme="minorHAnsi" w:cs="Tahoma"/>
          <w:sz w:val="20"/>
          <w:szCs w:val="20"/>
          <w:u w:val="single"/>
        </w:rPr>
        <w:t>Přechod pro chodce</w:t>
      </w:r>
    </w:p>
    <w:p w:rsidR="00261E17" w:rsidRDefault="00261E17" w:rsidP="00C1200E">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Stávající přechod před Penny nebude řešen, bude pouze obnoveno vodorovné značení. Hmatné prvky jsou v pořádku.</w:t>
      </w:r>
    </w:p>
    <w:p w:rsidR="00261E17" w:rsidRDefault="00261E17" w:rsidP="00C1200E">
      <w:pPr>
        <w:pStyle w:val="cc"/>
        <w:spacing w:before="0" w:beforeAutospacing="0" w:after="0" w:afterAutospacing="0" w:line="360" w:lineRule="auto"/>
        <w:jc w:val="both"/>
        <w:rPr>
          <w:rFonts w:asciiTheme="minorHAnsi" w:hAnsiTheme="minorHAnsi" w:cs="Tahoma"/>
          <w:sz w:val="20"/>
          <w:szCs w:val="20"/>
        </w:rPr>
      </w:pPr>
    </w:p>
    <w:p w:rsidR="00261E17" w:rsidRPr="00261E17" w:rsidRDefault="00261E17" w:rsidP="00C1200E">
      <w:pPr>
        <w:pStyle w:val="cc"/>
        <w:spacing w:before="0" w:beforeAutospacing="0" w:after="0" w:afterAutospacing="0" w:line="360" w:lineRule="auto"/>
        <w:jc w:val="both"/>
        <w:rPr>
          <w:rFonts w:asciiTheme="minorHAnsi" w:hAnsiTheme="minorHAnsi" w:cs="Tahoma"/>
          <w:sz w:val="20"/>
          <w:szCs w:val="20"/>
          <w:u w:val="single"/>
        </w:rPr>
      </w:pPr>
      <w:r w:rsidRPr="00261E17">
        <w:rPr>
          <w:rFonts w:asciiTheme="minorHAnsi" w:hAnsiTheme="minorHAnsi" w:cs="Tahoma"/>
          <w:sz w:val="20"/>
          <w:szCs w:val="20"/>
          <w:u w:val="single"/>
        </w:rPr>
        <w:t>Místa pro přecházení</w:t>
      </w:r>
    </w:p>
    <w:p w:rsidR="00261E17" w:rsidRDefault="00261E17" w:rsidP="00C1200E">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 xml:space="preserve">Místa pro přecházení jsou řešeny v celém rozsahu. Nášlapy obrub jsou +2cm, podél těchto obrub jsou varovné pásy z červené reliéfní dlažby šíře 0,4m. Tyto pásy jsou v dílce celé snížené obruby až do převýšení obruby +8cm nad vozovkou. Signální pásy jsou navrženy jen v místech, kde je to fyzicky možné. Signální pásy jsou stejně jako varovné pásy navrženy z reliéfní červené dlažby. Signální pásy jsou odsazené 0,4m od varovného pásu. </w:t>
      </w:r>
    </w:p>
    <w:p w:rsidR="00261E17" w:rsidRDefault="00261E17" w:rsidP="00C1200E">
      <w:pPr>
        <w:pStyle w:val="cc"/>
        <w:spacing w:before="0" w:beforeAutospacing="0" w:after="0" w:afterAutospacing="0" w:line="360" w:lineRule="auto"/>
        <w:jc w:val="both"/>
        <w:rPr>
          <w:rFonts w:asciiTheme="minorHAnsi" w:hAnsiTheme="minorHAnsi" w:cs="Tahoma"/>
          <w:sz w:val="20"/>
          <w:szCs w:val="20"/>
        </w:rPr>
      </w:pPr>
    </w:p>
    <w:p w:rsidR="00261E17" w:rsidRDefault="00261E17" w:rsidP="00C1200E">
      <w:pPr>
        <w:pStyle w:val="cc"/>
        <w:spacing w:before="0" w:beforeAutospacing="0" w:after="0" w:afterAutospacing="0" w:line="360" w:lineRule="auto"/>
        <w:jc w:val="both"/>
        <w:rPr>
          <w:rFonts w:asciiTheme="minorHAnsi" w:hAnsiTheme="minorHAnsi" w:cs="Tahoma"/>
          <w:sz w:val="20"/>
          <w:szCs w:val="20"/>
          <w:u w:val="single"/>
        </w:rPr>
      </w:pPr>
      <w:r w:rsidRPr="00261E17">
        <w:rPr>
          <w:rFonts w:asciiTheme="minorHAnsi" w:hAnsiTheme="minorHAnsi" w:cs="Tahoma"/>
          <w:sz w:val="20"/>
          <w:szCs w:val="20"/>
          <w:u w:val="single"/>
        </w:rPr>
        <w:t>Sjezdy</w:t>
      </w:r>
    </w:p>
    <w:p w:rsidR="00261E17" w:rsidRDefault="00261E17" w:rsidP="00C1200E">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V místech sjezdů budou silniční obrubníky sníženy na výšku nášlapu + 2cm, nejvíce však + 5cm. Podél snížených obrub jsou kladeny stejně jako u jiných snížených obrub, varovné pásy v šířce 0,4m. U sjezdu, který je delší jak 8m, bude na stranu u chodníkových obrub, osazena umělá vodící linie – vroubkovaná / vlnkovitá dlažba. Tento pás bude vyskládán v šíři 0,4m a slouží nevidomému k překlenutí vzdálenosti mezi chodníkovými obrubami.</w:t>
      </w:r>
    </w:p>
    <w:p w:rsidR="003F6E5B" w:rsidRDefault="003F6E5B" w:rsidP="00C1200E">
      <w:pPr>
        <w:pStyle w:val="cc"/>
        <w:spacing w:before="0" w:beforeAutospacing="0" w:after="0" w:afterAutospacing="0" w:line="360" w:lineRule="auto"/>
        <w:jc w:val="both"/>
        <w:rPr>
          <w:rFonts w:asciiTheme="minorHAnsi" w:hAnsiTheme="minorHAnsi" w:cs="Tahoma"/>
          <w:sz w:val="20"/>
          <w:szCs w:val="20"/>
        </w:rPr>
      </w:pPr>
    </w:p>
    <w:p w:rsidR="003F6E5B" w:rsidRPr="003F6E5B" w:rsidRDefault="003F6E5B" w:rsidP="00C1200E">
      <w:pPr>
        <w:pStyle w:val="cc"/>
        <w:spacing w:before="0" w:beforeAutospacing="0" w:after="0" w:afterAutospacing="0" w:line="360" w:lineRule="auto"/>
        <w:jc w:val="both"/>
        <w:rPr>
          <w:rFonts w:asciiTheme="minorHAnsi" w:hAnsiTheme="minorHAnsi" w:cs="Tahoma"/>
          <w:sz w:val="20"/>
          <w:szCs w:val="20"/>
          <w:u w:val="single"/>
        </w:rPr>
      </w:pPr>
      <w:r>
        <w:rPr>
          <w:rFonts w:asciiTheme="minorHAnsi" w:hAnsiTheme="minorHAnsi" w:cs="Tahoma"/>
          <w:sz w:val="20"/>
          <w:szCs w:val="20"/>
          <w:u w:val="single"/>
        </w:rPr>
        <w:t>Zastávky MHD</w:t>
      </w:r>
    </w:p>
    <w:p w:rsidR="00B10E80" w:rsidRDefault="003F6E5B" w:rsidP="003F6E5B">
      <w:pPr>
        <w:pStyle w:val="cc"/>
        <w:spacing w:before="0" w:beforeAutospacing="0" w:after="0" w:afterAutospacing="0" w:line="360" w:lineRule="auto"/>
        <w:jc w:val="both"/>
        <w:rPr>
          <w:rFonts w:asciiTheme="minorHAnsi" w:hAnsiTheme="minorHAnsi" w:cstheme="minorHAnsi"/>
          <w:b/>
          <w:i/>
        </w:rPr>
      </w:pPr>
      <w:r>
        <w:rPr>
          <w:rFonts w:asciiTheme="minorHAnsi" w:hAnsiTheme="minorHAnsi" w:cs="Tahoma"/>
          <w:sz w:val="20"/>
          <w:szCs w:val="20"/>
        </w:rPr>
        <w:tab/>
        <w:t>Výška nástupní hrany je navržena na +15 (</w:t>
      </w:r>
      <w:proofErr w:type="spellStart"/>
      <w:r>
        <w:rPr>
          <w:rFonts w:asciiTheme="minorHAnsi" w:hAnsiTheme="minorHAnsi" w:cs="Tahoma"/>
          <w:sz w:val="20"/>
          <w:szCs w:val="20"/>
        </w:rPr>
        <w:t>max</w:t>
      </w:r>
      <w:proofErr w:type="spellEnd"/>
      <w:r>
        <w:rPr>
          <w:rFonts w:asciiTheme="minorHAnsi" w:hAnsiTheme="minorHAnsi" w:cs="Tahoma"/>
          <w:sz w:val="20"/>
          <w:szCs w:val="20"/>
        </w:rPr>
        <w:t xml:space="preserve"> + 16cm). Podél nástupní hrany je kontrastní pás z červené hladké barvy šíře 0,4m. V místech cca 0,8 – 1,0m před označníkem zastávky je na kontrastní pás kolmo napojen signální pás šíře 0,8m z červené reliéfní dlažby. </w:t>
      </w:r>
    </w:p>
    <w:p w:rsidR="004176A2" w:rsidRDefault="009D6BDF" w:rsidP="004176A2">
      <w:pPr>
        <w:spacing w:before="120" w:line="360" w:lineRule="auto"/>
        <w:rPr>
          <w:rFonts w:asciiTheme="minorHAnsi" w:hAnsiTheme="minorHAnsi" w:cstheme="minorHAnsi"/>
          <w:b/>
          <w:i/>
        </w:rPr>
      </w:pPr>
      <w:r>
        <w:rPr>
          <w:rFonts w:asciiTheme="minorHAnsi" w:hAnsiTheme="minorHAnsi" w:cstheme="minorHAnsi"/>
          <w:b/>
          <w:i/>
        </w:rPr>
        <w:t xml:space="preserve"> </w:t>
      </w:r>
    </w:p>
    <w:p w:rsidR="00C50FAA" w:rsidRPr="009B7254" w:rsidRDefault="004176A2" w:rsidP="004176A2">
      <w:pPr>
        <w:spacing w:before="120" w:line="360" w:lineRule="auto"/>
        <w:rPr>
          <w:rFonts w:asciiTheme="minorHAnsi" w:hAnsiTheme="minorHAnsi" w:cstheme="minorHAnsi"/>
          <w:b/>
          <w:i/>
        </w:rPr>
      </w:pPr>
      <w:r>
        <w:rPr>
          <w:rFonts w:asciiTheme="minorHAnsi" w:hAnsiTheme="minorHAnsi" w:cstheme="minorHAnsi"/>
          <w:b/>
          <w:i/>
        </w:rPr>
        <w:lastRenderedPageBreak/>
        <w:t xml:space="preserve">V </w:t>
      </w:r>
      <w:proofErr w:type="gramStart"/>
      <w:r>
        <w:rPr>
          <w:rFonts w:asciiTheme="minorHAnsi" w:hAnsiTheme="minorHAnsi" w:cstheme="minorHAnsi"/>
          <w:b/>
          <w:i/>
        </w:rPr>
        <w:t>Chomutově</w:t>
      </w:r>
      <w:r w:rsidR="004F72A8" w:rsidRPr="009B7254">
        <w:rPr>
          <w:rFonts w:asciiTheme="minorHAnsi" w:hAnsiTheme="minorHAnsi" w:cstheme="minorHAnsi"/>
          <w:b/>
          <w:i/>
        </w:rPr>
        <w:t xml:space="preserve">, </w:t>
      </w:r>
      <w:r>
        <w:rPr>
          <w:rFonts w:asciiTheme="minorHAnsi" w:hAnsiTheme="minorHAnsi" w:cstheme="minorHAnsi"/>
          <w:b/>
          <w:i/>
        </w:rPr>
        <w:t xml:space="preserve"> </w:t>
      </w:r>
      <w:r w:rsidR="00B10E80">
        <w:rPr>
          <w:rFonts w:asciiTheme="minorHAnsi" w:hAnsiTheme="minorHAnsi" w:cstheme="minorHAnsi"/>
          <w:b/>
          <w:i/>
        </w:rPr>
        <w:t>2</w:t>
      </w:r>
      <w:r w:rsidR="00987187">
        <w:rPr>
          <w:rFonts w:asciiTheme="minorHAnsi" w:hAnsiTheme="minorHAnsi" w:cstheme="minorHAnsi"/>
          <w:b/>
          <w:i/>
        </w:rPr>
        <w:t>9</w:t>
      </w:r>
      <w:r w:rsidR="009B7254">
        <w:rPr>
          <w:rFonts w:asciiTheme="minorHAnsi" w:hAnsiTheme="minorHAnsi" w:cstheme="minorHAnsi"/>
          <w:b/>
          <w:i/>
        </w:rPr>
        <w:t>.</w:t>
      </w:r>
      <w:proofErr w:type="gramEnd"/>
      <w:r w:rsidR="003F796F">
        <w:rPr>
          <w:rFonts w:asciiTheme="minorHAnsi" w:hAnsiTheme="minorHAnsi" w:cstheme="minorHAnsi"/>
          <w:b/>
          <w:i/>
        </w:rPr>
        <w:t xml:space="preserve"> </w:t>
      </w:r>
      <w:r w:rsidR="00987187">
        <w:rPr>
          <w:rFonts w:asciiTheme="minorHAnsi" w:hAnsiTheme="minorHAnsi" w:cstheme="minorHAnsi"/>
          <w:b/>
          <w:i/>
        </w:rPr>
        <w:t>5</w:t>
      </w:r>
      <w:r w:rsidR="003023F4">
        <w:rPr>
          <w:rFonts w:asciiTheme="minorHAnsi" w:hAnsiTheme="minorHAnsi" w:cstheme="minorHAnsi"/>
          <w:b/>
          <w:i/>
        </w:rPr>
        <w:t>.</w:t>
      </w:r>
      <w:r w:rsidR="00987187">
        <w:rPr>
          <w:rFonts w:asciiTheme="minorHAnsi" w:hAnsiTheme="minorHAnsi" w:cstheme="minorHAnsi"/>
          <w:b/>
          <w:i/>
        </w:rPr>
        <w:t xml:space="preserve"> 2020</w:t>
      </w:r>
    </w:p>
    <w:sectPr w:rsidR="00C50FAA" w:rsidRPr="009B7254" w:rsidSect="00C55055">
      <w:headerReference w:type="default" r:id="rId19"/>
      <w:footerReference w:type="default" r:id="rId20"/>
      <w:type w:val="continuous"/>
      <w:pgSz w:w="11907" w:h="16840" w:code="9"/>
      <w:pgMar w:top="2127" w:right="1418" w:bottom="1418" w:left="1418" w:header="709" w:footer="709" w:gutter="0"/>
      <w:pgNumType w:fmt="numberInDash"/>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595C" w:rsidRDefault="0085595C">
      <w:r>
        <w:separator/>
      </w:r>
    </w:p>
  </w:endnote>
  <w:endnote w:type="continuationSeparator" w:id="0">
    <w:p w:rsidR="0085595C" w:rsidRDefault="0085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141457"/>
      <w:docPartObj>
        <w:docPartGallery w:val="Page Numbers (Bottom of Page)"/>
        <w:docPartUnique/>
      </w:docPartObj>
    </w:sdtPr>
    <w:sdtEndPr>
      <w:rPr>
        <w:color w:val="7F7F7F" w:themeColor="background1" w:themeShade="7F"/>
        <w:spacing w:val="60"/>
      </w:rPr>
    </w:sdtEndPr>
    <w:sdtContent>
      <w:p w:rsidR="00763714" w:rsidRDefault="00763714">
        <w:pPr>
          <w:pStyle w:val="Zpat"/>
          <w:pBdr>
            <w:top w:val="single" w:sz="4" w:space="1" w:color="D9D9D9" w:themeColor="background1" w:themeShade="D9"/>
          </w:pBdr>
          <w:rPr>
            <w:b/>
            <w:bCs/>
          </w:rPr>
        </w:pPr>
        <w:r>
          <w:fldChar w:fldCharType="begin"/>
        </w:r>
        <w:r>
          <w:instrText>PAGE   \* MERGEFORMAT</w:instrText>
        </w:r>
        <w:r>
          <w:fldChar w:fldCharType="separate"/>
        </w:r>
        <w:r w:rsidR="00B90706" w:rsidRPr="00B90706">
          <w:rPr>
            <w:b/>
            <w:bCs/>
            <w:noProof/>
          </w:rPr>
          <w:t>-</w:t>
        </w:r>
        <w:r w:rsidR="00B90706">
          <w:rPr>
            <w:noProof/>
          </w:rPr>
          <w:t xml:space="preserve"> 2 -</w:t>
        </w:r>
        <w:r>
          <w:rPr>
            <w:b/>
            <w:bCs/>
          </w:rPr>
          <w:fldChar w:fldCharType="end"/>
        </w:r>
        <w:r>
          <w:rPr>
            <w:b/>
            <w:bCs/>
          </w:rPr>
          <w:t xml:space="preserve"> | </w:t>
        </w:r>
        <w:r>
          <w:rPr>
            <w:color w:val="7F7F7F" w:themeColor="background1" w:themeShade="7F"/>
            <w:spacing w:val="60"/>
          </w:rPr>
          <w:t>Stránka</w:t>
        </w:r>
      </w:p>
    </w:sdtContent>
  </w:sdt>
  <w:p w:rsidR="00763714" w:rsidRDefault="00763714" w:rsidP="004D7E11">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4840948"/>
      <w:docPartObj>
        <w:docPartGallery w:val="Page Numbers (Bottom of Page)"/>
        <w:docPartUnique/>
      </w:docPartObj>
    </w:sdtPr>
    <w:sdtEndPr>
      <w:rPr>
        <w:color w:val="7F7F7F" w:themeColor="background1" w:themeShade="7F"/>
        <w:spacing w:val="60"/>
      </w:rPr>
    </w:sdtEndPr>
    <w:sdtContent>
      <w:p w:rsidR="00763714" w:rsidRDefault="00763714">
        <w:pPr>
          <w:pStyle w:val="Zpat"/>
          <w:pBdr>
            <w:top w:val="single" w:sz="4" w:space="1" w:color="D9D9D9" w:themeColor="background1" w:themeShade="D9"/>
          </w:pBdr>
          <w:rPr>
            <w:b/>
            <w:bCs/>
          </w:rPr>
        </w:pPr>
        <w:r>
          <w:fldChar w:fldCharType="begin"/>
        </w:r>
        <w:r>
          <w:instrText>PAGE   \* MERGEFORMAT</w:instrText>
        </w:r>
        <w:r>
          <w:fldChar w:fldCharType="separate"/>
        </w:r>
        <w:r w:rsidR="00B90706" w:rsidRPr="00B90706">
          <w:rPr>
            <w:b/>
            <w:bCs/>
            <w:noProof/>
          </w:rPr>
          <w:t>-</w:t>
        </w:r>
        <w:r w:rsidR="00B90706">
          <w:rPr>
            <w:noProof/>
          </w:rPr>
          <w:t xml:space="preserve"> 8 -</w:t>
        </w:r>
        <w:r>
          <w:rPr>
            <w:b/>
            <w:bCs/>
          </w:rPr>
          <w:fldChar w:fldCharType="end"/>
        </w:r>
        <w:r>
          <w:rPr>
            <w:b/>
            <w:bCs/>
          </w:rPr>
          <w:t xml:space="preserve"> | </w:t>
        </w:r>
        <w:r>
          <w:rPr>
            <w:color w:val="7F7F7F" w:themeColor="background1" w:themeShade="7F"/>
            <w:spacing w:val="60"/>
          </w:rPr>
          <w:t>Stránka</w:t>
        </w:r>
      </w:p>
    </w:sdtContent>
  </w:sdt>
  <w:p w:rsidR="00763714" w:rsidRDefault="00763714" w:rsidP="004D7E11">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595C" w:rsidRDefault="0085595C">
      <w:r>
        <w:separator/>
      </w:r>
    </w:p>
  </w:footnote>
  <w:footnote w:type="continuationSeparator" w:id="0">
    <w:p w:rsidR="0085595C" w:rsidRDefault="0085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714" w:rsidRPr="00B73E33" w:rsidRDefault="00763714" w:rsidP="0002052C">
    <w:pPr>
      <w:pStyle w:val="Zhlav"/>
      <w:tabs>
        <w:tab w:val="clear" w:pos="4536"/>
        <w:tab w:val="clear" w:pos="7847"/>
        <w:tab w:val="center" w:pos="4535"/>
      </w:tabs>
      <w:jc w:val="right"/>
      <w:rPr>
        <w:rFonts w:asciiTheme="minorHAnsi" w:hAnsiTheme="minorHAnsi" w:cs="Tahoma"/>
        <w:color w:val="BFBFBF" w:themeColor="background1" w:themeShade="BF"/>
        <w:sz w:val="16"/>
        <w:szCs w:val="18"/>
      </w:rPr>
    </w:pPr>
    <w:r>
      <w:rPr>
        <w:noProof/>
      </w:rPr>
      <w:drawing>
        <wp:anchor distT="0" distB="0" distL="114300" distR="114300" simplePos="0" relativeHeight="251661312" behindDoc="1" locked="0" layoutInCell="1" allowOverlap="1" wp14:anchorId="1157C23F" wp14:editId="6EC3AC5F">
          <wp:simplePos x="0" y="0"/>
          <wp:positionH relativeFrom="page">
            <wp:posOffset>-10633</wp:posOffset>
          </wp:positionH>
          <wp:positionV relativeFrom="paragraph">
            <wp:posOffset>-447040</wp:posOffset>
          </wp:positionV>
          <wp:extent cx="7572375" cy="10712450"/>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2450"/>
                  </a:xfrm>
                  <a:prstGeom prst="rect">
                    <a:avLst/>
                  </a:prstGeom>
                  <a:noFill/>
                </pic:spPr>
              </pic:pic>
            </a:graphicData>
          </a:graphic>
          <wp14:sizeRelH relativeFrom="page">
            <wp14:pctWidth>0</wp14:pctWidth>
          </wp14:sizeRelH>
          <wp14:sizeRelV relativeFrom="page">
            <wp14:pctHeight>0</wp14:pctHeight>
          </wp14:sizeRelV>
        </wp:anchor>
      </w:drawing>
    </w:r>
    <w:r w:rsidRPr="00B73E33">
      <w:rPr>
        <w:rFonts w:asciiTheme="minorHAnsi" w:hAnsiTheme="minorHAnsi" w:cs="Tahoma"/>
        <w:color w:val="BFBFBF" w:themeColor="background1" w:themeShade="BF"/>
        <w:sz w:val="16"/>
        <w:szCs w:val="18"/>
      </w:rPr>
      <w:t>Z</w:t>
    </w:r>
    <w:r>
      <w:rPr>
        <w:rFonts w:asciiTheme="minorHAnsi" w:hAnsiTheme="minorHAnsi" w:cs="Tahoma"/>
        <w:color w:val="BFBFBF" w:themeColor="background1" w:themeShade="BF"/>
        <w:sz w:val="16"/>
        <w:szCs w:val="18"/>
      </w:rPr>
      <w:t xml:space="preserve">akázka – </w:t>
    </w:r>
    <w:r w:rsidR="00C04110">
      <w:rPr>
        <w:rFonts w:asciiTheme="minorHAnsi" w:hAnsiTheme="minorHAnsi" w:cs="Tahoma"/>
        <w:color w:val="BFBFBF" w:themeColor="background1" w:themeShade="BF"/>
        <w:sz w:val="16"/>
        <w:szCs w:val="18"/>
      </w:rPr>
      <w:t>20225</w:t>
    </w:r>
  </w:p>
  <w:p w:rsidR="00D17377" w:rsidRDefault="00DA6F2E" w:rsidP="0002052C">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 xml:space="preserve">Obnova povrchu </w:t>
    </w:r>
    <w:r w:rsidR="001A789A">
      <w:rPr>
        <w:rFonts w:asciiTheme="minorHAnsi" w:hAnsiTheme="minorHAnsi"/>
        <w:color w:val="BFBFBF" w:themeColor="background1" w:themeShade="BF"/>
        <w:sz w:val="16"/>
        <w:szCs w:val="18"/>
      </w:rPr>
      <w:t>v ulici Pod Strážištěm</w:t>
    </w:r>
    <w:r>
      <w:rPr>
        <w:rFonts w:asciiTheme="minorHAnsi" w:hAnsiTheme="minorHAnsi"/>
        <w:color w:val="BFBFBF" w:themeColor="background1" w:themeShade="BF"/>
        <w:sz w:val="16"/>
        <w:szCs w:val="18"/>
      </w:rPr>
      <w:t>, Chomutov</w:t>
    </w:r>
  </w:p>
  <w:p w:rsidR="00763714" w:rsidRPr="00B73E33" w:rsidRDefault="00763714" w:rsidP="0002052C">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 xml:space="preserve">DOKUMENTACE PRO </w:t>
    </w:r>
    <w:r w:rsidR="00DA6F2E">
      <w:rPr>
        <w:rFonts w:asciiTheme="minorHAnsi" w:hAnsiTheme="minorHAnsi"/>
        <w:color w:val="BFBFBF" w:themeColor="background1" w:themeShade="BF"/>
        <w:sz w:val="16"/>
        <w:szCs w:val="18"/>
      </w:rPr>
      <w:t>PROVEDENÍ STAVBY</w:t>
    </w:r>
  </w:p>
  <w:p w:rsidR="00763714" w:rsidRPr="00F544A3" w:rsidRDefault="00763714" w:rsidP="00F544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714" w:rsidRPr="00B73E33" w:rsidRDefault="00763714" w:rsidP="00F772B1">
    <w:pPr>
      <w:pStyle w:val="Zhlav"/>
      <w:tabs>
        <w:tab w:val="clear" w:pos="4536"/>
        <w:tab w:val="clear" w:pos="7847"/>
        <w:tab w:val="center" w:pos="4535"/>
      </w:tabs>
      <w:jc w:val="right"/>
      <w:rPr>
        <w:rFonts w:asciiTheme="minorHAnsi" w:hAnsiTheme="minorHAnsi" w:cs="Tahoma"/>
        <w:color w:val="BFBFBF" w:themeColor="background1" w:themeShade="BF"/>
        <w:sz w:val="16"/>
        <w:szCs w:val="18"/>
      </w:rPr>
    </w:pPr>
    <w:r>
      <w:rPr>
        <w:noProof/>
      </w:rPr>
      <w:drawing>
        <wp:anchor distT="0" distB="0" distL="114300" distR="114300" simplePos="0" relativeHeight="251663360" behindDoc="1" locked="0" layoutInCell="1" allowOverlap="1" wp14:anchorId="694D157C" wp14:editId="4D3E1DAC">
          <wp:simplePos x="0" y="0"/>
          <wp:positionH relativeFrom="margin">
            <wp:align>center</wp:align>
          </wp:positionH>
          <wp:positionV relativeFrom="paragraph">
            <wp:posOffset>-447040</wp:posOffset>
          </wp:positionV>
          <wp:extent cx="7572375" cy="10712450"/>
          <wp:effectExtent l="0" t="0" r="9525"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2450"/>
                  </a:xfrm>
                  <a:prstGeom prst="rect">
                    <a:avLst/>
                  </a:prstGeom>
                  <a:noFill/>
                </pic:spPr>
              </pic:pic>
            </a:graphicData>
          </a:graphic>
          <wp14:sizeRelH relativeFrom="page">
            <wp14:pctWidth>0</wp14:pctWidth>
          </wp14:sizeRelH>
          <wp14:sizeRelV relativeFrom="page">
            <wp14:pctHeight>0</wp14:pctHeight>
          </wp14:sizeRelV>
        </wp:anchor>
      </w:drawing>
    </w:r>
    <w:r w:rsidRPr="00B73E33">
      <w:rPr>
        <w:rFonts w:asciiTheme="minorHAnsi" w:hAnsiTheme="minorHAnsi" w:cs="Tahoma"/>
        <w:color w:val="BFBFBF" w:themeColor="background1" w:themeShade="BF"/>
        <w:sz w:val="16"/>
        <w:szCs w:val="18"/>
      </w:rPr>
      <w:t>Z</w:t>
    </w:r>
    <w:r>
      <w:rPr>
        <w:rFonts w:asciiTheme="minorHAnsi" w:hAnsiTheme="minorHAnsi" w:cs="Tahoma"/>
        <w:color w:val="BFBFBF" w:themeColor="background1" w:themeShade="BF"/>
        <w:sz w:val="16"/>
        <w:szCs w:val="18"/>
      </w:rPr>
      <w:t xml:space="preserve">akázka – </w:t>
    </w:r>
    <w:r w:rsidR="00E7063A">
      <w:rPr>
        <w:rFonts w:asciiTheme="minorHAnsi" w:hAnsiTheme="minorHAnsi" w:cs="Tahoma"/>
        <w:color w:val="BFBFBF" w:themeColor="background1" w:themeShade="BF"/>
        <w:sz w:val="16"/>
        <w:szCs w:val="18"/>
      </w:rPr>
      <w:t>20225</w:t>
    </w:r>
  </w:p>
  <w:p w:rsidR="00763714" w:rsidRPr="00B73E33" w:rsidRDefault="00E7063A" w:rsidP="00F772B1">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Obnova povrchu v ulici Pod Strážištěm, Chomutov</w:t>
    </w:r>
  </w:p>
  <w:p w:rsidR="00763714" w:rsidRPr="00B73E33" w:rsidRDefault="00763714" w:rsidP="00F772B1">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 xml:space="preserve">DOKUMENTACE PRO </w:t>
    </w:r>
    <w:r w:rsidR="00B10E80">
      <w:rPr>
        <w:rFonts w:asciiTheme="minorHAnsi" w:hAnsiTheme="minorHAnsi"/>
        <w:color w:val="BFBFBF" w:themeColor="background1" w:themeShade="BF"/>
        <w:sz w:val="16"/>
        <w:szCs w:val="18"/>
      </w:rPr>
      <w:t>PROVEDENÍ STAVBY</w:t>
    </w:r>
  </w:p>
  <w:p w:rsidR="00763714" w:rsidRPr="00E33136" w:rsidRDefault="00763714" w:rsidP="006C77C4">
    <w:pPr>
      <w:pStyle w:val="Zhlav"/>
      <w:tabs>
        <w:tab w:val="clear" w:pos="4536"/>
        <w:tab w:val="clear" w:pos="7847"/>
        <w:tab w:val="left" w:pos="1725"/>
      </w:tabs>
      <w:jc w:val="right"/>
      <w:rPr>
        <w:rFonts w:asciiTheme="minorHAnsi" w:hAnsiTheme="minorHAnsi" w:cs="Tahoma"/>
        <w:b/>
        <w:color w:val="BFBFBF" w:themeColor="background1" w:themeShade="BF"/>
        <w:sz w:val="18"/>
        <w:szCs w:val="18"/>
      </w:rPr>
    </w:pPr>
  </w:p>
  <w:p w:rsidR="00763714" w:rsidRPr="00F544A3" w:rsidRDefault="00763714" w:rsidP="00F544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D741D"/>
    <w:multiLevelType w:val="multilevel"/>
    <w:tmpl w:val="4D66C878"/>
    <w:lvl w:ilvl="0">
      <w:start w:val="1"/>
      <w:numFmt w:val="decimal"/>
      <w:pStyle w:val="Nadpis1"/>
      <w:lvlText w:val="%1."/>
      <w:lvlJc w:val="left"/>
      <w:pPr>
        <w:ind w:left="360" w:hanging="360"/>
      </w:pPr>
      <w:rPr>
        <w:rFonts w:hint="default"/>
      </w:rPr>
    </w:lvl>
    <w:lvl w:ilvl="1">
      <w:start w:val="1"/>
      <w:numFmt w:val="decimal"/>
      <w:lvlText w:val="%2."/>
      <w:lvlJc w:val="left"/>
      <w:pPr>
        <w:tabs>
          <w:tab w:val="num" w:pos="2275"/>
        </w:tabs>
        <w:ind w:left="2275" w:hanging="432"/>
      </w:pPr>
      <w:rPr>
        <w:rFonts w:hint="default"/>
      </w:rPr>
    </w:lvl>
    <w:lvl w:ilvl="2">
      <w:start w:val="1"/>
      <w:numFmt w:val="decimalZero"/>
      <w:lvlRestart w:val="0"/>
      <w:lvlText w:val="%2.%1.%3"/>
      <w:lvlJc w:val="left"/>
      <w:pPr>
        <w:tabs>
          <w:tab w:val="num" w:pos="2280"/>
        </w:tabs>
        <w:ind w:left="206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1EB1832"/>
    <w:multiLevelType w:val="multilevel"/>
    <w:tmpl w:val="B3DC7EEE"/>
    <w:lvl w:ilvl="0">
      <w:start w:val="1"/>
      <w:numFmt w:val="decimal"/>
      <w:lvlText w:val="%1."/>
      <w:lvlJc w:val="left"/>
      <w:pPr>
        <w:ind w:left="4287" w:hanging="360"/>
      </w:pPr>
    </w:lvl>
    <w:lvl w:ilvl="1">
      <w:start w:val="1"/>
      <w:numFmt w:val="decimal"/>
      <w:lvlText w:val="%2."/>
      <w:lvlJc w:val="left"/>
      <w:pPr>
        <w:ind w:left="716" w:hanging="432"/>
      </w:pPr>
      <w:rPr>
        <w:rFonts w:asciiTheme="minorHAnsi" w:eastAsia="Times New Roman" w:hAnsiTheme="minorHAnsi" w:cs="Arial"/>
      </w:r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2" w15:restartNumberingAfterBreak="0">
    <w:nsid w:val="1A655455"/>
    <w:multiLevelType w:val="hybridMultilevel"/>
    <w:tmpl w:val="A4C241C8"/>
    <w:lvl w:ilvl="0" w:tplc="AC721854">
      <w:start w:val="2"/>
      <w:numFmt w:val="decimal"/>
      <w:lvlText w:val="%1."/>
      <w:lvlJc w:val="left"/>
      <w:pPr>
        <w:ind w:left="495" w:hanging="360"/>
      </w:pPr>
      <w:rPr>
        <w:rFonts w:hint="default"/>
      </w:rPr>
    </w:lvl>
    <w:lvl w:ilvl="1" w:tplc="04050019" w:tentative="1">
      <w:start w:val="1"/>
      <w:numFmt w:val="lowerLetter"/>
      <w:lvlText w:val="%2."/>
      <w:lvlJc w:val="left"/>
      <w:pPr>
        <w:ind w:left="1215" w:hanging="360"/>
      </w:pPr>
    </w:lvl>
    <w:lvl w:ilvl="2" w:tplc="0405001B" w:tentative="1">
      <w:start w:val="1"/>
      <w:numFmt w:val="lowerRoman"/>
      <w:lvlText w:val="%3."/>
      <w:lvlJc w:val="right"/>
      <w:pPr>
        <w:ind w:left="1935" w:hanging="180"/>
      </w:pPr>
    </w:lvl>
    <w:lvl w:ilvl="3" w:tplc="0405000F" w:tentative="1">
      <w:start w:val="1"/>
      <w:numFmt w:val="decimal"/>
      <w:lvlText w:val="%4."/>
      <w:lvlJc w:val="left"/>
      <w:pPr>
        <w:ind w:left="2655" w:hanging="360"/>
      </w:pPr>
    </w:lvl>
    <w:lvl w:ilvl="4" w:tplc="04050019" w:tentative="1">
      <w:start w:val="1"/>
      <w:numFmt w:val="lowerLetter"/>
      <w:lvlText w:val="%5."/>
      <w:lvlJc w:val="left"/>
      <w:pPr>
        <w:ind w:left="3375" w:hanging="360"/>
      </w:pPr>
    </w:lvl>
    <w:lvl w:ilvl="5" w:tplc="0405001B" w:tentative="1">
      <w:start w:val="1"/>
      <w:numFmt w:val="lowerRoman"/>
      <w:lvlText w:val="%6."/>
      <w:lvlJc w:val="right"/>
      <w:pPr>
        <w:ind w:left="4095" w:hanging="180"/>
      </w:pPr>
    </w:lvl>
    <w:lvl w:ilvl="6" w:tplc="0405000F" w:tentative="1">
      <w:start w:val="1"/>
      <w:numFmt w:val="decimal"/>
      <w:lvlText w:val="%7."/>
      <w:lvlJc w:val="left"/>
      <w:pPr>
        <w:ind w:left="4815" w:hanging="360"/>
      </w:pPr>
    </w:lvl>
    <w:lvl w:ilvl="7" w:tplc="04050019" w:tentative="1">
      <w:start w:val="1"/>
      <w:numFmt w:val="lowerLetter"/>
      <w:lvlText w:val="%8."/>
      <w:lvlJc w:val="left"/>
      <w:pPr>
        <w:ind w:left="5535" w:hanging="360"/>
      </w:pPr>
    </w:lvl>
    <w:lvl w:ilvl="8" w:tplc="0405001B" w:tentative="1">
      <w:start w:val="1"/>
      <w:numFmt w:val="lowerRoman"/>
      <w:lvlText w:val="%9."/>
      <w:lvlJc w:val="right"/>
      <w:pPr>
        <w:ind w:left="6255" w:hanging="180"/>
      </w:pPr>
    </w:lvl>
  </w:abstractNum>
  <w:abstractNum w:abstractNumId="3" w15:restartNumberingAfterBreak="0">
    <w:nsid w:val="21B606C3"/>
    <w:multiLevelType w:val="hybridMultilevel"/>
    <w:tmpl w:val="52921D72"/>
    <w:lvl w:ilvl="0" w:tplc="68F2A5B4">
      <w:start w:val="2"/>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29293342"/>
    <w:multiLevelType w:val="hybridMultilevel"/>
    <w:tmpl w:val="D2AE17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4617E9"/>
    <w:multiLevelType w:val="hybridMultilevel"/>
    <w:tmpl w:val="5BDA1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889025B"/>
    <w:multiLevelType w:val="hybridMultilevel"/>
    <w:tmpl w:val="5DFA9CCA"/>
    <w:lvl w:ilvl="0" w:tplc="63623BEC">
      <w:start w:val="4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18C11A1"/>
    <w:multiLevelType w:val="hybridMultilevel"/>
    <w:tmpl w:val="C7825D94"/>
    <w:lvl w:ilvl="0" w:tplc="BC9A11BC">
      <w:start w:val="4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4E6B31"/>
    <w:multiLevelType w:val="hybridMultilevel"/>
    <w:tmpl w:val="05B2CD30"/>
    <w:lvl w:ilvl="0" w:tplc="2E829120">
      <w:start w:val="8"/>
      <w:numFmt w:val="bullet"/>
      <w:lvlText w:val="-"/>
      <w:lvlJc w:val="left"/>
      <w:pPr>
        <w:ind w:left="72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A1B3944"/>
    <w:multiLevelType w:val="hybridMultilevel"/>
    <w:tmpl w:val="55EA834C"/>
    <w:lvl w:ilvl="0" w:tplc="48D806B2">
      <w:start w:val="4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AC93D41"/>
    <w:multiLevelType w:val="hybridMultilevel"/>
    <w:tmpl w:val="E18AE920"/>
    <w:lvl w:ilvl="0" w:tplc="7C2409EC">
      <w:start w:val="2"/>
      <w:numFmt w:val="bullet"/>
      <w:lvlText w:val="-"/>
      <w:lvlJc w:val="left"/>
      <w:pPr>
        <w:tabs>
          <w:tab w:val="num" w:pos="975"/>
        </w:tabs>
        <w:ind w:left="975" w:hanging="360"/>
      </w:pPr>
      <w:rPr>
        <w:rFonts w:ascii="Times New Roman" w:eastAsia="Times New Roman" w:hAnsi="Times New Roman" w:cs="Times New Roman" w:hint="default"/>
      </w:rPr>
    </w:lvl>
    <w:lvl w:ilvl="1" w:tplc="04050003" w:tentative="1">
      <w:start w:val="1"/>
      <w:numFmt w:val="bullet"/>
      <w:lvlText w:val="o"/>
      <w:lvlJc w:val="left"/>
      <w:pPr>
        <w:tabs>
          <w:tab w:val="num" w:pos="1695"/>
        </w:tabs>
        <w:ind w:left="1695" w:hanging="360"/>
      </w:pPr>
      <w:rPr>
        <w:rFonts w:ascii="Courier New" w:hAnsi="Courier New" w:cs="Courier New" w:hint="default"/>
      </w:rPr>
    </w:lvl>
    <w:lvl w:ilvl="2" w:tplc="04050005" w:tentative="1">
      <w:start w:val="1"/>
      <w:numFmt w:val="bullet"/>
      <w:lvlText w:val=""/>
      <w:lvlJc w:val="left"/>
      <w:pPr>
        <w:tabs>
          <w:tab w:val="num" w:pos="2415"/>
        </w:tabs>
        <w:ind w:left="2415" w:hanging="360"/>
      </w:pPr>
      <w:rPr>
        <w:rFonts w:ascii="Wingdings" w:hAnsi="Wingdings" w:hint="default"/>
      </w:rPr>
    </w:lvl>
    <w:lvl w:ilvl="3" w:tplc="04050001" w:tentative="1">
      <w:start w:val="1"/>
      <w:numFmt w:val="bullet"/>
      <w:lvlText w:val=""/>
      <w:lvlJc w:val="left"/>
      <w:pPr>
        <w:tabs>
          <w:tab w:val="num" w:pos="3135"/>
        </w:tabs>
        <w:ind w:left="3135" w:hanging="360"/>
      </w:pPr>
      <w:rPr>
        <w:rFonts w:ascii="Symbol" w:hAnsi="Symbol" w:hint="default"/>
      </w:rPr>
    </w:lvl>
    <w:lvl w:ilvl="4" w:tplc="04050003" w:tentative="1">
      <w:start w:val="1"/>
      <w:numFmt w:val="bullet"/>
      <w:lvlText w:val="o"/>
      <w:lvlJc w:val="left"/>
      <w:pPr>
        <w:tabs>
          <w:tab w:val="num" w:pos="3855"/>
        </w:tabs>
        <w:ind w:left="3855" w:hanging="360"/>
      </w:pPr>
      <w:rPr>
        <w:rFonts w:ascii="Courier New" w:hAnsi="Courier New" w:cs="Courier New" w:hint="default"/>
      </w:rPr>
    </w:lvl>
    <w:lvl w:ilvl="5" w:tplc="04050005" w:tentative="1">
      <w:start w:val="1"/>
      <w:numFmt w:val="bullet"/>
      <w:lvlText w:val=""/>
      <w:lvlJc w:val="left"/>
      <w:pPr>
        <w:tabs>
          <w:tab w:val="num" w:pos="4575"/>
        </w:tabs>
        <w:ind w:left="4575" w:hanging="360"/>
      </w:pPr>
      <w:rPr>
        <w:rFonts w:ascii="Wingdings" w:hAnsi="Wingdings" w:hint="default"/>
      </w:rPr>
    </w:lvl>
    <w:lvl w:ilvl="6" w:tplc="04050001" w:tentative="1">
      <w:start w:val="1"/>
      <w:numFmt w:val="bullet"/>
      <w:lvlText w:val=""/>
      <w:lvlJc w:val="left"/>
      <w:pPr>
        <w:tabs>
          <w:tab w:val="num" w:pos="5295"/>
        </w:tabs>
        <w:ind w:left="5295" w:hanging="360"/>
      </w:pPr>
      <w:rPr>
        <w:rFonts w:ascii="Symbol" w:hAnsi="Symbol" w:hint="default"/>
      </w:rPr>
    </w:lvl>
    <w:lvl w:ilvl="7" w:tplc="04050003" w:tentative="1">
      <w:start w:val="1"/>
      <w:numFmt w:val="bullet"/>
      <w:lvlText w:val="o"/>
      <w:lvlJc w:val="left"/>
      <w:pPr>
        <w:tabs>
          <w:tab w:val="num" w:pos="6015"/>
        </w:tabs>
        <w:ind w:left="6015" w:hanging="360"/>
      </w:pPr>
      <w:rPr>
        <w:rFonts w:ascii="Courier New" w:hAnsi="Courier New" w:cs="Courier New" w:hint="default"/>
      </w:rPr>
    </w:lvl>
    <w:lvl w:ilvl="8" w:tplc="04050005" w:tentative="1">
      <w:start w:val="1"/>
      <w:numFmt w:val="bullet"/>
      <w:lvlText w:val=""/>
      <w:lvlJc w:val="left"/>
      <w:pPr>
        <w:tabs>
          <w:tab w:val="num" w:pos="6735"/>
        </w:tabs>
        <w:ind w:left="6735"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10"/>
  </w:num>
  <w:num w:numId="41">
    <w:abstractNumId w:val="3"/>
  </w:num>
  <w:num w:numId="42">
    <w:abstractNumId w:val="6"/>
  </w:num>
  <w:num w:numId="43">
    <w:abstractNumId w:val="2"/>
  </w:num>
  <w:num w:numId="44">
    <w:abstractNumId w:val="0"/>
  </w:num>
  <w:num w:numId="45">
    <w:abstractNumId w:val="0"/>
  </w:num>
  <w:num w:numId="46">
    <w:abstractNumId w:val="0"/>
  </w:num>
  <w:num w:numId="47">
    <w:abstractNumId w:val="0"/>
  </w:num>
  <w:num w:numId="48">
    <w:abstractNumId w:val="8"/>
  </w:num>
  <w:num w:numId="49">
    <w:abstractNumId w:val="7"/>
  </w:num>
  <w:num w:numId="5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5231"/>
    <w:rsid w:val="00000E46"/>
    <w:rsid w:val="00011319"/>
    <w:rsid w:val="000119CF"/>
    <w:rsid w:val="00012112"/>
    <w:rsid w:val="0001218A"/>
    <w:rsid w:val="00012309"/>
    <w:rsid w:val="00013F93"/>
    <w:rsid w:val="00016AD8"/>
    <w:rsid w:val="00016EAC"/>
    <w:rsid w:val="00017057"/>
    <w:rsid w:val="0001798F"/>
    <w:rsid w:val="0002052C"/>
    <w:rsid w:val="000209CB"/>
    <w:rsid w:val="00023A36"/>
    <w:rsid w:val="000240B1"/>
    <w:rsid w:val="00024E23"/>
    <w:rsid w:val="00025AA7"/>
    <w:rsid w:val="000301EB"/>
    <w:rsid w:val="00030B28"/>
    <w:rsid w:val="00032BBD"/>
    <w:rsid w:val="00032EC2"/>
    <w:rsid w:val="000342EA"/>
    <w:rsid w:val="00034F3E"/>
    <w:rsid w:val="000378A2"/>
    <w:rsid w:val="000410E8"/>
    <w:rsid w:val="0004191B"/>
    <w:rsid w:val="000429CC"/>
    <w:rsid w:val="00043F9D"/>
    <w:rsid w:val="000464D2"/>
    <w:rsid w:val="00047988"/>
    <w:rsid w:val="00052284"/>
    <w:rsid w:val="00054894"/>
    <w:rsid w:val="00054E26"/>
    <w:rsid w:val="00055BD2"/>
    <w:rsid w:val="0005718F"/>
    <w:rsid w:val="00057552"/>
    <w:rsid w:val="00063506"/>
    <w:rsid w:val="00063F7B"/>
    <w:rsid w:val="00065B56"/>
    <w:rsid w:val="0006634F"/>
    <w:rsid w:val="000703BD"/>
    <w:rsid w:val="00070429"/>
    <w:rsid w:val="000707B7"/>
    <w:rsid w:val="00071014"/>
    <w:rsid w:val="0007184E"/>
    <w:rsid w:val="00071FC3"/>
    <w:rsid w:val="00074712"/>
    <w:rsid w:val="00074881"/>
    <w:rsid w:val="00076603"/>
    <w:rsid w:val="0007697B"/>
    <w:rsid w:val="00076F89"/>
    <w:rsid w:val="00080A59"/>
    <w:rsid w:val="00080BB9"/>
    <w:rsid w:val="00081AC7"/>
    <w:rsid w:val="00082006"/>
    <w:rsid w:val="00083497"/>
    <w:rsid w:val="00083A05"/>
    <w:rsid w:val="00083DA0"/>
    <w:rsid w:val="00084558"/>
    <w:rsid w:val="00087014"/>
    <w:rsid w:val="0008780E"/>
    <w:rsid w:val="00087CDC"/>
    <w:rsid w:val="00090E5E"/>
    <w:rsid w:val="00092AFB"/>
    <w:rsid w:val="00093FDD"/>
    <w:rsid w:val="000949D1"/>
    <w:rsid w:val="00094CE5"/>
    <w:rsid w:val="00094E0F"/>
    <w:rsid w:val="00095CBE"/>
    <w:rsid w:val="0009707B"/>
    <w:rsid w:val="000A019D"/>
    <w:rsid w:val="000A0B64"/>
    <w:rsid w:val="000A17A8"/>
    <w:rsid w:val="000A21CA"/>
    <w:rsid w:val="000A2513"/>
    <w:rsid w:val="000A25F9"/>
    <w:rsid w:val="000A271D"/>
    <w:rsid w:val="000A33F9"/>
    <w:rsid w:val="000A377B"/>
    <w:rsid w:val="000A7674"/>
    <w:rsid w:val="000B2AA7"/>
    <w:rsid w:val="000B458A"/>
    <w:rsid w:val="000B46EB"/>
    <w:rsid w:val="000B4D36"/>
    <w:rsid w:val="000C316E"/>
    <w:rsid w:val="000C5028"/>
    <w:rsid w:val="000C59B4"/>
    <w:rsid w:val="000C5E05"/>
    <w:rsid w:val="000C6270"/>
    <w:rsid w:val="000C7B55"/>
    <w:rsid w:val="000D0E86"/>
    <w:rsid w:val="000D1976"/>
    <w:rsid w:val="000D2C92"/>
    <w:rsid w:val="000D3BC4"/>
    <w:rsid w:val="000D5E84"/>
    <w:rsid w:val="000D5EF9"/>
    <w:rsid w:val="000D6059"/>
    <w:rsid w:val="000D6451"/>
    <w:rsid w:val="000E2FAC"/>
    <w:rsid w:val="000E3F7F"/>
    <w:rsid w:val="000E4473"/>
    <w:rsid w:val="000E5200"/>
    <w:rsid w:val="000E55BD"/>
    <w:rsid w:val="000E58DB"/>
    <w:rsid w:val="000E6C1D"/>
    <w:rsid w:val="000E6F28"/>
    <w:rsid w:val="000F0066"/>
    <w:rsid w:val="000F11DF"/>
    <w:rsid w:val="000F33FC"/>
    <w:rsid w:val="000F55BD"/>
    <w:rsid w:val="00100D61"/>
    <w:rsid w:val="00101897"/>
    <w:rsid w:val="00101A44"/>
    <w:rsid w:val="00103CB0"/>
    <w:rsid w:val="001043DA"/>
    <w:rsid w:val="0010732F"/>
    <w:rsid w:val="0011042C"/>
    <w:rsid w:val="0011044B"/>
    <w:rsid w:val="00110B4D"/>
    <w:rsid w:val="0011124F"/>
    <w:rsid w:val="00111EB4"/>
    <w:rsid w:val="001122C2"/>
    <w:rsid w:val="001146E1"/>
    <w:rsid w:val="001151A1"/>
    <w:rsid w:val="00115983"/>
    <w:rsid w:val="001169C4"/>
    <w:rsid w:val="0012011C"/>
    <w:rsid w:val="00120DCF"/>
    <w:rsid w:val="00120F99"/>
    <w:rsid w:val="00121831"/>
    <w:rsid w:val="0012216B"/>
    <w:rsid w:val="001237A3"/>
    <w:rsid w:val="00123A54"/>
    <w:rsid w:val="00125186"/>
    <w:rsid w:val="00125929"/>
    <w:rsid w:val="0012635B"/>
    <w:rsid w:val="00126E26"/>
    <w:rsid w:val="00131B6D"/>
    <w:rsid w:val="001333C1"/>
    <w:rsid w:val="00133EA6"/>
    <w:rsid w:val="00134453"/>
    <w:rsid w:val="001349C9"/>
    <w:rsid w:val="001354DC"/>
    <w:rsid w:val="001358B6"/>
    <w:rsid w:val="001376D1"/>
    <w:rsid w:val="00137B57"/>
    <w:rsid w:val="00141B50"/>
    <w:rsid w:val="00141F61"/>
    <w:rsid w:val="00143546"/>
    <w:rsid w:val="00145002"/>
    <w:rsid w:val="001474E0"/>
    <w:rsid w:val="00151FA3"/>
    <w:rsid w:val="00154022"/>
    <w:rsid w:val="001541FB"/>
    <w:rsid w:val="00154556"/>
    <w:rsid w:val="001564CC"/>
    <w:rsid w:val="001575B7"/>
    <w:rsid w:val="00160F18"/>
    <w:rsid w:val="00163BC9"/>
    <w:rsid w:val="00166137"/>
    <w:rsid w:val="0017161B"/>
    <w:rsid w:val="00171CF0"/>
    <w:rsid w:val="00173078"/>
    <w:rsid w:val="001736A6"/>
    <w:rsid w:val="001736DC"/>
    <w:rsid w:val="001738F9"/>
    <w:rsid w:val="001740BC"/>
    <w:rsid w:val="00174F57"/>
    <w:rsid w:val="00175E05"/>
    <w:rsid w:val="00182CBD"/>
    <w:rsid w:val="0018304B"/>
    <w:rsid w:val="001842D4"/>
    <w:rsid w:val="00184737"/>
    <w:rsid w:val="00184B76"/>
    <w:rsid w:val="0018578A"/>
    <w:rsid w:val="00185986"/>
    <w:rsid w:val="00187A9F"/>
    <w:rsid w:val="001914A6"/>
    <w:rsid w:val="00192013"/>
    <w:rsid w:val="00192356"/>
    <w:rsid w:val="0019409E"/>
    <w:rsid w:val="001945AE"/>
    <w:rsid w:val="00194CA7"/>
    <w:rsid w:val="0019518E"/>
    <w:rsid w:val="001A34F9"/>
    <w:rsid w:val="001A43EC"/>
    <w:rsid w:val="001A496D"/>
    <w:rsid w:val="001A73CE"/>
    <w:rsid w:val="001A789A"/>
    <w:rsid w:val="001B2A12"/>
    <w:rsid w:val="001B3263"/>
    <w:rsid w:val="001B3C94"/>
    <w:rsid w:val="001B4A52"/>
    <w:rsid w:val="001B53AF"/>
    <w:rsid w:val="001B6470"/>
    <w:rsid w:val="001B714C"/>
    <w:rsid w:val="001B7CB7"/>
    <w:rsid w:val="001B7F13"/>
    <w:rsid w:val="001C12AC"/>
    <w:rsid w:val="001C1640"/>
    <w:rsid w:val="001C25C1"/>
    <w:rsid w:val="001C4857"/>
    <w:rsid w:val="001C4AA4"/>
    <w:rsid w:val="001C522A"/>
    <w:rsid w:val="001C6209"/>
    <w:rsid w:val="001C66A2"/>
    <w:rsid w:val="001C78C9"/>
    <w:rsid w:val="001C7F7E"/>
    <w:rsid w:val="001D0457"/>
    <w:rsid w:val="001D444D"/>
    <w:rsid w:val="001D526C"/>
    <w:rsid w:val="001E0042"/>
    <w:rsid w:val="001E2221"/>
    <w:rsid w:val="001E4093"/>
    <w:rsid w:val="001E4D0D"/>
    <w:rsid w:val="001E71E0"/>
    <w:rsid w:val="001F0E7B"/>
    <w:rsid w:val="001F1762"/>
    <w:rsid w:val="001F1E76"/>
    <w:rsid w:val="001F265D"/>
    <w:rsid w:val="001F6273"/>
    <w:rsid w:val="001F647D"/>
    <w:rsid w:val="001F66AD"/>
    <w:rsid w:val="001F70F5"/>
    <w:rsid w:val="001F72E8"/>
    <w:rsid w:val="00202E13"/>
    <w:rsid w:val="00202FDE"/>
    <w:rsid w:val="002034DB"/>
    <w:rsid w:val="00206086"/>
    <w:rsid w:val="002071F4"/>
    <w:rsid w:val="00207350"/>
    <w:rsid w:val="00207628"/>
    <w:rsid w:val="002127E5"/>
    <w:rsid w:val="00217F14"/>
    <w:rsid w:val="002223C3"/>
    <w:rsid w:val="00225966"/>
    <w:rsid w:val="0022798F"/>
    <w:rsid w:val="00230459"/>
    <w:rsid w:val="0023074A"/>
    <w:rsid w:val="002313F5"/>
    <w:rsid w:val="0023531E"/>
    <w:rsid w:val="002370D8"/>
    <w:rsid w:val="0024149D"/>
    <w:rsid w:val="00241B1B"/>
    <w:rsid w:val="00243539"/>
    <w:rsid w:val="00244214"/>
    <w:rsid w:val="00244F51"/>
    <w:rsid w:val="00245C55"/>
    <w:rsid w:val="00247395"/>
    <w:rsid w:val="00247414"/>
    <w:rsid w:val="00252896"/>
    <w:rsid w:val="0025512C"/>
    <w:rsid w:val="0025561C"/>
    <w:rsid w:val="00255DD3"/>
    <w:rsid w:val="00256786"/>
    <w:rsid w:val="00256B0C"/>
    <w:rsid w:val="00257FC8"/>
    <w:rsid w:val="00260A2C"/>
    <w:rsid w:val="00261E17"/>
    <w:rsid w:val="0026260E"/>
    <w:rsid w:val="00262F80"/>
    <w:rsid w:val="002638A1"/>
    <w:rsid w:val="002666C6"/>
    <w:rsid w:val="002707E3"/>
    <w:rsid w:val="00276031"/>
    <w:rsid w:val="002766DC"/>
    <w:rsid w:val="00277A8C"/>
    <w:rsid w:val="0028183C"/>
    <w:rsid w:val="002818BD"/>
    <w:rsid w:val="0028292B"/>
    <w:rsid w:val="002831B1"/>
    <w:rsid w:val="00283C26"/>
    <w:rsid w:val="00286269"/>
    <w:rsid w:val="00291304"/>
    <w:rsid w:val="0029190A"/>
    <w:rsid w:val="00294139"/>
    <w:rsid w:val="00294A34"/>
    <w:rsid w:val="00294CA0"/>
    <w:rsid w:val="002958C6"/>
    <w:rsid w:val="002A390C"/>
    <w:rsid w:val="002A4CCC"/>
    <w:rsid w:val="002A5303"/>
    <w:rsid w:val="002B0C69"/>
    <w:rsid w:val="002B1E64"/>
    <w:rsid w:val="002B7E04"/>
    <w:rsid w:val="002C0C3A"/>
    <w:rsid w:val="002C14FC"/>
    <w:rsid w:val="002C2791"/>
    <w:rsid w:val="002C3818"/>
    <w:rsid w:val="002C5CAE"/>
    <w:rsid w:val="002C7334"/>
    <w:rsid w:val="002C7BE3"/>
    <w:rsid w:val="002C7FA8"/>
    <w:rsid w:val="002D08DD"/>
    <w:rsid w:val="002D1FEA"/>
    <w:rsid w:val="002D303E"/>
    <w:rsid w:val="002D7C69"/>
    <w:rsid w:val="002E31FF"/>
    <w:rsid w:val="002E388D"/>
    <w:rsid w:val="002E3BC5"/>
    <w:rsid w:val="002E4287"/>
    <w:rsid w:val="002E6B28"/>
    <w:rsid w:val="002E7444"/>
    <w:rsid w:val="002F0840"/>
    <w:rsid w:val="002F09DA"/>
    <w:rsid w:val="002F2644"/>
    <w:rsid w:val="002F3332"/>
    <w:rsid w:val="002F3832"/>
    <w:rsid w:val="002F7A8A"/>
    <w:rsid w:val="00301A7D"/>
    <w:rsid w:val="003023F4"/>
    <w:rsid w:val="00302498"/>
    <w:rsid w:val="003037A7"/>
    <w:rsid w:val="0030787E"/>
    <w:rsid w:val="00307B6B"/>
    <w:rsid w:val="00310777"/>
    <w:rsid w:val="00311693"/>
    <w:rsid w:val="00313584"/>
    <w:rsid w:val="0031433C"/>
    <w:rsid w:val="00314802"/>
    <w:rsid w:val="00315136"/>
    <w:rsid w:val="0031690A"/>
    <w:rsid w:val="003176C6"/>
    <w:rsid w:val="00317E21"/>
    <w:rsid w:val="0032147B"/>
    <w:rsid w:val="003229EE"/>
    <w:rsid w:val="003243BD"/>
    <w:rsid w:val="003273EB"/>
    <w:rsid w:val="00327D37"/>
    <w:rsid w:val="00330CB2"/>
    <w:rsid w:val="0033390E"/>
    <w:rsid w:val="003340B1"/>
    <w:rsid w:val="00341CC6"/>
    <w:rsid w:val="003425DA"/>
    <w:rsid w:val="00344173"/>
    <w:rsid w:val="00344BFA"/>
    <w:rsid w:val="00346D62"/>
    <w:rsid w:val="0034741E"/>
    <w:rsid w:val="0035095E"/>
    <w:rsid w:val="00351D4F"/>
    <w:rsid w:val="00353A01"/>
    <w:rsid w:val="00354E6E"/>
    <w:rsid w:val="00355251"/>
    <w:rsid w:val="00355A5B"/>
    <w:rsid w:val="00355B53"/>
    <w:rsid w:val="00357C58"/>
    <w:rsid w:val="0036051D"/>
    <w:rsid w:val="00366EBC"/>
    <w:rsid w:val="0036756E"/>
    <w:rsid w:val="0036773C"/>
    <w:rsid w:val="003679DE"/>
    <w:rsid w:val="00370638"/>
    <w:rsid w:val="00370753"/>
    <w:rsid w:val="00370A7A"/>
    <w:rsid w:val="00371FDC"/>
    <w:rsid w:val="00373065"/>
    <w:rsid w:val="003760D9"/>
    <w:rsid w:val="0037673B"/>
    <w:rsid w:val="00377FBD"/>
    <w:rsid w:val="00380BE7"/>
    <w:rsid w:val="00383019"/>
    <w:rsid w:val="0038334A"/>
    <w:rsid w:val="00383749"/>
    <w:rsid w:val="00383D13"/>
    <w:rsid w:val="00386452"/>
    <w:rsid w:val="003873E4"/>
    <w:rsid w:val="00387F66"/>
    <w:rsid w:val="0039073D"/>
    <w:rsid w:val="003A02C3"/>
    <w:rsid w:val="003A058B"/>
    <w:rsid w:val="003A0FFF"/>
    <w:rsid w:val="003A1019"/>
    <w:rsid w:val="003A1415"/>
    <w:rsid w:val="003A1F9B"/>
    <w:rsid w:val="003A24D1"/>
    <w:rsid w:val="003A2A39"/>
    <w:rsid w:val="003A33E0"/>
    <w:rsid w:val="003A3454"/>
    <w:rsid w:val="003A5014"/>
    <w:rsid w:val="003A5164"/>
    <w:rsid w:val="003A7F6E"/>
    <w:rsid w:val="003B43DA"/>
    <w:rsid w:val="003B45AC"/>
    <w:rsid w:val="003B48D9"/>
    <w:rsid w:val="003C3D41"/>
    <w:rsid w:val="003C4B22"/>
    <w:rsid w:val="003C65AF"/>
    <w:rsid w:val="003D10AC"/>
    <w:rsid w:val="003D3187"/>
    <w:rsid w:val="003D6D34"/>
    <w:rsid w:val="003D6D94"/>
    <w:rsid w:val="003D7443"/>
    <w:rsid w:val="003E296B"/>
    <w:rsid w:val="003E2E8B"/>
    <w:rsid w:val="003E6C52"/>
    <w:rsid w:val="003E6E27"/>
    <w:rsid w:val="003F0638"/>
    <w:rsid w:val="003F26DE"/>
    <w:rsid w:val="003F4E47"/>
    <w:rsid w:val="003F4FEF"/>
    <w:rsid w:val="003F50C4"/>
    <w:rsid w:val="003F5231"/>
    <w:rsid w:val="003F56AA"/>
    <w:rsid w:val="003F6E07"/>
    <w:rsid w:val="003F6E5B"/>
    <w:rsid w:val="003F796F"/>
    <w:rsid w:val="00400611"/>
    <w:rsid w:val="00400BEE"/>
    <w:rsid w:val="0040264B"/>
    <w:rsid w:val="00403059"/>
    <w:rsid w:val="00404F1D"/>
    <w:rsid w:val="00405335"/>
    <w:rsid w:val="0040550C"/>
    <w:rsid w:val="00405924"/>
    <w:rsid w:val="00406E40"/>
    <w:rsid w:val="004108B7"/>
    <w:rsid w:val="00411A31"/>
    <w:rsid w:val="00411C64"/>
    <w:rsid w:val="00411D51"/>
    <w:rsid w:val="00412632"/>
    <w:rsid w:val="00413324"/>
    <w:rsid w:val="00414146"/>
    <w:rsid w:val="004173DF"/>
    <w:rsid w:val="004176A2"/>
    <w:rsid w:val="00421019"/>
    <w:rsid w:val="00422ABD"/>
    <w:rsid w:val="0042409F"/>
    <w:rsid w:val="00430864"/>
    <w:rsid w:val="00431B22"/>
    <w:rsid w:val="00431B9A"/>
    <w:rsid w:val="00431F86"/>
    <w:rsid w:val="004324D2"/>
    <w:rsid w:val="0043356C"/>
    <w:rsid w:val="00435F09"/>
    <w:rsid w:val="00436F68"/>
    <w:rsid w:val="00441D03"/>
    <w:rsid w:val="00442AF2"/>
    <w:rsid w:val="0044422C"/>
    <w:rsid w:val="004451FF"/>
    <w:rsid w:val="004468C9"/>
    <w:rsid w:val="0044690B"/>
    <w:rsid w:val="00446F67"/>
    <w:rsid w:val="00451331"/>
    <w:rsid w:val="00453293"/>
    <w:rsid w:val="0045337A"/>
    <w:rsid w:val="0045385A"/>
    <w:rsid w:val="00454A03"/>
    <w:rsid w:val="00454E6D"/>
    <w:rsid w:val="00455386"/>
    <w:rsid w:val="004560B5"/>
    <w:rsid w:val="004606C9"/>
    <w:rsid w:val="00462835"/>
    <w:rsid w:val="00462D8F"/>
    <w:rsid w:val="00464335"/>
    <w:rsid w:val="004658F6"/>
    <w:rsid w:val="00465CFE"/>
    <w:rsid w:val="00466D58"/>
    <w:rsid w:val="004704B3"/>
    <w:rsid w:val="004711A1"/>
    <w:rsid w:val="004715B1"/>
    <w:rsid w:val="00472148"/>
    <w:rsid w:val="0047322B"/>
    <w:rsid w:val="00477367"/>
    <w:rsid w:val="00482776"/>
    <w:rsid w:val="00482FE4"/>
    <w:rsid w:val="00485BD3"/>
    <w:rsid w:val="00490ECE"/>
    <w:rsid w:val="004922A2"/>
    <w:rsid w:val="00492AC2"/>
    <w:rsid w:val="00492EF6"/>
    <w:rsid w:val="00494583"/>
    <w:rsid w:val="004A2B62"/>
    <w:rsid w:val="004A2BEB"/>
    <w:rsid w:val="004A39A5"/>
    <w:rsid w:val="004A557E"/>
    <w:rsid w:val="004A5799"/>
    <w:rsid w:val="004A6322"/>
    <w:rsid w:val="004A7654"/>
    <w:rsid w:val="004A77CE"/>
    <w:rsid w:val="004B13AD"/>
    <w:rsid w:val="004B28A2"/>
    <w:rsid w:val="004B3431"/>
    <w:rsid w:val="004C105B"/>
    <w:rsid w:val="004C1AB0"/>
    <w:rsid w:val="004C359A"/>
    <w:rsid w:val="004D38B6"/>
    <w:rsid w:val="004D39EF"/>
    <w:rsid w:val="004D3A44"/>
    <w:rsid w:val="004D3AB5"/>
    <w:rsid w:val="004D533F"/>
    <w:rsid w:val="004D6291"/>
    <w:rsid w:val="004D7ABD"/>
    <w:rsid w:val="004D7E11"/>
    <w:rsid w:val="004E2745"/>
    <w:rsid w:val="004E5DC1"/>
    <w:rsid w:val="004E5ED5"/>
    <w:rsid w:val="004E6CED"/>
    <w:rsid w:val="004F17E0"/>
    <w:rsid w:val="004F3045"/>
    <w:rsid w:val="004F5A45"/>
    <w:rsid w:val="004F663D"/>
    <w:rsid w:val="004F72A8"/>
    <w:rsid w:val="004F7BF0"/>
    <w:rsid w:val="004F7D17"/>
    <w:rsid w:val="004F7F46"/>
    <w:rsid w:val="005002D5"/>
    <w:rsid w:val="0050201A"/>
    <w:rsid w:val="00503F13"/>
    <w:rsid w:val="00506793"/>
    <w:rsid w:val="005067A2"/>
    <w:rsid w:val="00510ED5"/>
    <w:rsid w:val="00511C4B"/>
    <w:rsid w:val="005132D9"/>
    <w:rsid w:val="00513D5A"/>
    <w:rsid w:val="005175C5"/>
    <w:rsid w:val="00523395"/>
    <w:rsid w:val="00524B95"/>
    <w:rsid w:val="005259F2"/>
    <w:rsid w:val="005260B0"/>
    <w:rsid w:val="005279AC"/>
    <w:rsid w:val="00527FB5"/>
    <w:rsid w:val="005313DE"/>
    <w:rsid w:val="0053329E"/>
    <w:rsid w:val="005333BB"/>
    <w:rsid w:val="005335B3"/>
    <w:rsid w:val="00533CC4"/>
    <w:rsid w:val="005342F6"/>
    <w:rsid w:val="005359ED"/>
    <w:rsid w:val="0053715E"/>
    <w:rsid w:val="00537333"/>
    <w:rsid w:val="0053779E"/>
    <w:rsid w:val="0054003B"/>
    <w:rsid w:val="005420BB"/>
    <w:rsid w:val="00542AF5"/>
    <w:rsid w:val="00542B33"/>
    <w:rsid w:val="0054313F"/>
    <w:rsid w:val="00544B36"/>
    <w:rsid w:val="00546D34"/>
    <w:rsid w:val="005471A4"/>
    <w:rsid w:val="005505B3"/>
    <w:rsid w:val="00552E35"/>
    <w:rsid w:val="005535BB"/>
    <w:rsid w:val="00553826"/>
    <w:rsid w:val="0055456A"/>
    <w:rsid w:val="00554ACE"/>
    <w:rsid w:val="005567E9"/>
    <w:rsid w:val="005572D5"/>
    <w:rsid w:val="00561977"/>
    <w:rsid w:val="00562BE5"/>
    <w:rsid w:val="00562E84"/>
    <w:rsid w:val="00563B0F"/>
    <w:rsid w:val="00563C73"/>
    <w:rsid w:val="00565348"/>
    <w:rsid w:val="00566A30"/>
    <w:rsid w:val="00566BB0"/>
    <w:rsid w:val="00570CFC"/>
    <w:rsid w:val="00572BC8"/>
    <w:rsid w:val="00573387"/>
    <w:rsid w:val="0057522F"/>
    <w:rsid w:val="00575D3A"/>
    <w:rsid w:val="00575F95"/>
    <w:rsid w:val="00576D83"/>
    <w:rsid w:val="00580DA4"/>
    <w:rsid w:val="00582C0D"/>
    <w:rsid w:val="00582D4F"/>
    <w:rsid w:val="005835E3"/>
    <w:rsid w:val="00587EB3"/>
    <w:rsid w:val="00591176"/>
    <w:rsid w:val="00591A09"/>
    <w:rsid w:val="0059380E"/>
    <w:rsid w:val="0059396B"/>
    <w:rsid w:val="00594BE0"/>
    <w:rsid w:val="00595EC8"/>
    <w:rsid w:val="0059645C"/>
    <w:rsid w:val="00596DA2"/>
    <w:rsid w:val="005A30D2"/>
    <w:rsid w:val="005A43AC"/>
    <w:rsid w:val="005A710E"/>
    <w:rsid w:val="005A7607"/>
    <w:rsid w:val="005A7D2A"/>
    <w:rsid w:val="005B2118"/>
    <w:rsid w:val="005B22F7"/>
    <w:rsid w:val="005B28F9"/>
    <w:rsid w:val="005B3394"/>
    <w:rsid w:val="005B33CF"/>
    <w:rsid w:val="005B4097"/>
    <w:rsid w:val="005B42ED"/>
    <w:rsid w:val="005B474C"/>
    <w:rsid w:val="005B6715"/>
    <w:rsid w:val="005B757A"/>
    <w:rsid w:val="005B757D"/>
    <w:rsid w:val="005B79B5"/>
    <w:rsid w:val="005C5F6A"/>
    <w:rsid w:val="005C6212"/>
    <w:rsid w:val="005C6CE1"/>
    <w:rsid w:val="005D5FB4"/>
    <w:rsid w:val="005D6559"/>
    <w:rsid w:val="005D6ABA"/>
    <w:rsid w:val="005E245C"/>
    <w:rsid w:val="005E3554"/>
    <w:rsid w:val="005E358B"/>
    <w:rsid w:val="005E3E9A"/>
    <w:rsid w:val="005E3ECE"/>
    <w:rsid w:val="005E44B9"/>
    <w:rsid w:val="005E529E"/>
    <w:rsid w:val="005E5432"/>
    <w:rsid w:val="005E5812"/>
    <w:rsid w:val="005E77B2"/>
    <w:rsid w:val="005E7A4A"/>
    <w:rsid w:val="005F0EA2"/>
    <w:rsid w:val="005F1887"/>
    <w:rsid w:val="005F1EFF"/>
    <w:rsid w:val="0060001C"/>
    <w:rsid w:val="00601DC4"/>
    <w:rsid w:val="00601EF2"/>
    <w:rsid w:val="00602E8B"/>
    <w:rsid w:val="00604E5B"/>
    <w:rsid w:val="00606CBB"/>
    <w:rsid w:val="00606D77"/>
    <w:rsid w:val="00606F40"/>
    <w:rsid w:val="00607C9D"/>
    <w:rsid w:val="006113D3"/>
    <w:rsid w:val="006113FA"/>
    <w:rsid w:val="00611C12"/>
    <w:rsid w:val="00611F8D"/>
    <w:rsid w:val="00612765"/>
    <w:rsid w:val="006133FA"/>
    <w:rsid w:val="00614B33"/>
    <w:rsid w:val="00614BC7"/>
    <w:rsid w:val="00614E63"/>
    <w:rsid w:val="00615984"/>
    <w:rsid w:val="00616C9D"/>
    <w:rsid w:val="00617FEF"/>
    <w:rsid w:val="00620162"/>
    <w:rsid w:val="00621800"/>
    <w:rsid w:val="00622C2B"/>
    <w:rsid w:val="0062643F"/>
    <w:rsid w:val="00626DB6"/>
    <w:rsid w:val="00626ED0"/>
    <w:rsid w:val="00630C59"/>
    <w:rsid w:val="006348A1"/>
    <w:rsid w:val="0063507F"/>
    <w:rsid w:val="00636022"/>
    <w:rsid w:val="00636419"/>
    <w:rsid w:val="0063698F"/>
    <w:rsid w:val="00637D47"/>
    <w:rsid w:val="006407A2"/>
    <w:rsid w:val="00643CC4"/>
    <w:rsid w:val="00643FEF"/>
    <w:rsid w:val="006539DC"/>
    <w:rsid w:val="006562BC"/>
    <w:rsid w:val="00656524"/>
    <w:rsid w:val="006566DF"/>
    <w:rsid w:val="00656E2C"/>
    <w:rsid w:val="006578F9"/>
    <w:rsid w:val="00661220"/>
    <w:rsid w:val="006637D1"/>
    <w:rsid w:val="00665005"/>
    <w:rsid w:val="0066584B"/>
    <w:rsid w:val="00665953"/>
    <w:rsid w:val="006676C2"/>
    <w:rsid w:val="0067153E"/>
    <w:rsid w:val="00672677"/>
    <w:rsid w:val="0067310F"/>
    <w:rsid w:val="00675CEA"/>
    <w:rsid w:val="00676854"/>
    <w:rsid w:val="006768D5"/>
    <w:rsid w:val="00680E7F"/>
    <w:rsid w:val="00685FEA"/>
    <w:rsid w:val="00692B0D"/>
    <w:rsid w:val="006936E7"/>
    <w:rsid w:val="0069548A"/>
    <w:rsid w:val="00697154"/>
    <w:rsid w:val="006A1217"/>
    <w:rsid w:val="006A28AA"/>
    <w:rsid w:val="006A2A8B"/>
    <w:rsid w:val="006A358E"/>
    <w:rsid w:val="006A3E7E"/>
    <w:rsid w:val="006A4716"/>
    <w:rsid w:val="006A4E37"/>
    <w:rsid w:val="006A50E1"/>
    <w:rsid w:val="006A6A68"/>
    <w:rsid w:val="006A6CC1"/>
    <w:rsid w:val="006B051D"/>
    <w:rsid w:val="006B59BC"/>
    <w:rsid w:val="006B6862"/>
    <w:rsid w:val="006C2172"/>
    <w:rsid w:val="006C3825"/>
    <w:rsid w:val="006C3C92"/>
    <w:rsid w:val="006C66A0"/>
    <w:rsid w:val="006C77C4"/>
    <w:rsid w:val="006C7C30"/>
    <w:rsid w:val="006D1F15"/>
    <w:rsid w:val="006D2C4D"/>
    <w:rsid w:val="006D5AD2"/>
    <w:rsid w:val="006D61C4"/>
    <w:rsid w:val="006D6802"/>
    <w:rsid w:val="006E2512"/>
    <w:rsid w:val="006E6248"/>
    <w:rsid w:val="006E6F70"/>
    <w:rsid w:val="006E76A2"/>
    <w:rsid w:val="006E7913"/>
    <w:rsid w:val="006E7E16"/>
    <w:rsid w:val="006F0C0F"/>
    <w:rsid w:val="006F2564"/>
    <w:rsid w:val="006F27A2"/>
    <w:rsid w:val="006F3138"/>
    <w:rsid w:val="006F3186"/>
    <w:rsid w:val="006F4530"/>
    <w:rsid w:val="006F4B28"/>
    <w:rsid w:val="006F74C5"/>
    <w:rsid w:val="0070306A"/>
    <w:rsid w:val="00703B43"/>
    <w:rsid w:val="007052E2"/>
    <w:rsid w:val="007064BB"/>
    <w:rsid w:val="00706A25"/>
    <w:rsid w:val="00707C6F"/>
    <w:rsid w:val="00711542"/>
    <w:rsid w:val="007127A8"/>
    <w:rsid w:val="0071335F"/>
    <w:rsid w:val="00713C93"/>
    <w:rsid w:val="00715305"/>
    <w:rsid w:val="007158DE"/>
    <w:rsid w:val="00716018"/>
    <w:rsid w:val="00716C33"/>
    <w:rsid w:val="00716E85"/>
    <w:rsid w:val="007173A5"/>
    <w:rsid w:val="00717ED0"/>
    <w:rsid w:val="00717F8B"/>
    <w:rsid w:val="007219DB"/>
    <w:rsid w:val="00722960"/>
    <w:rsid w:val="0072398D"/>
    <w:rsid w:val="007272BD"/>
    <w:rsid w:val="00727CE9"/>
    <w:rsid w:val="007301B3"/>
    <w:rsid w:val="0073443A"/>
    <w:rsid w:val="0073514B"/>
    <w:rsid w:val="00736890"/>
    <w:rsid w:val="00742B50"/>
    <w:rsid w:val="0074686B"/>
    <w:rsid w:val="007479DA"/>
    <w:rsid w:val="00753E63"/>
    <w:rsid w:val="00757486"/>
    <w:rsid w:val="007618B7"/>
    <w:rsid w:val="00761D56"/>
    <w:rsid w:val="007634F9"/>
    <w:rsid w:val="00763714"/>
    <w:rsid w:val="007639FD"/>
    <w:rsid w:val="00764553"/>
    <w:rsid w:val="00764D89"/>
    <w:rsid w:val="00764FAD"/>
    <w:rsid w:val="007651E1"/>
    <w:rsid w:val="00765D91"/>
    <w:rsid w:val="0076766B"/>
    <w:rsid w:val="00771C6A"/>
    <w:rsid w:val="00772309"/>
    <w:rsid w:val="00772687"/>
    <w:rsid w:val="0077349A"/>
    <w:rsid w:val="00773D2C"/>
    <w:rsid w:val="00775739"/>
    <w:rsid w:val="00776431"/>
    <w:rsid w:val="007778EA"/>
    <w:rsid w:val="00777B41"/>
    <w:rsid w:val="00777E48"/>
    <w:rsid w:val="007810B2"/>
    <w:rsid w:val="00781992"/>
    <w:rsid w:val="00782CA4"/>
    <w:rsid w:val="007852E1"/>
    <w:rsid w:val="007859FC"/>
    <w:rsid w:val="0078609E"/>
    <w:rsid w:val="00786C84"/>
    <w:rsid w:val="0079079B"/>
    <w:rsid w:val="00792BE2"/>
    <w:rsid w:val="00792D01"/>
    <w:rsid w:val="00793163"/>
    <w:rsid w:val="00793BE9"/>
    <w:rsid w:val="00793FE3"/>
    <w:rsid w:val="00795502"/>
    <w:rsid w:val="00795F41"/>
    <w:rsid w:val="007978BF"/>
    <w:rsid w:val="007A0E4C"/>
    <w:rsid w:val="007A1132"/>
    <w:rsid w:val="007A4813"/>
    <w:rsid w:val="007A559C"/>
    <w:rsid w:val="007A5B54"/>
    <w:rsid w:val="007A713F"/>
    <w:rsid w:val="007A7BEE"/>
    <w:rsid w:val="007A7F6F"/>
    <w:rsid w:val="007B2108"/>
    <w:rsid w:val="007B2DD4"/>
    <w:rsid w:val="007B41D8"/>
    <w:rsid w:val="007B5A46"/>
    <w:rsid w:val="007B6BB1"/>
    <w:rsid w:val="007C0F2C"/>
    <w:rsid w:val="007C68FC"/>
    <w:rsid w:val="007C69DF"/>
    <w:rsid w:val="007C76BD"/>
    <w:rsid w:val="007D0B70"/>
    <w:rsid w:val="007D15DE"/>
    <w:rsid w:val="007D1BBF"/>
    <w:rsid w:val="007D22E3"/>
    <w:rsid w:val="007D3640"/>
    <w:rsid w:val="007D4713"/>
    <w:rsid w:val="007D739A"/>
    <w:rsid w:val="007D7689"/>
    <w:rsid w:val="007E046D"/>
    <w:rsid w:val="007E21A8"/>
    <w:rsid w:val="007E3495"/>
    <w:rsid w:val="007E4114"/>
    <w:rsid w:val="007F1E9D"/>
    <w:rsid w:val="007F2A6E"/>
    <w:rsid w:val="007F4F79"/>
    <w:rsid w:val="007F5CCE"/>
    <w:rsid w:val="007F6FE7"/>
    <w:rsid w:val="00800C47"/>
    <w:rsid w:val="00800FCF"/>
    <w:rsid w:val="00801791"/>
    <w:rsid w:val="00801AED"/>
    <w:rsid w:val="00802846"/>
    <w:rsid w:val="008028FD"/>
    <w:rsid w:val="00802ADD"/>
    <w:rsid w:val="00811137"/>
    <w:rsid w:val="0081148F"/>
    <w:rsid w:val="0081249B"/>
    <w:rsid w:val="00814472"/>
    <w:rsid w:val="00814CF1"/>
    <w:rsid w:val="00815811"/>
    <w:rsid w:val="00816981"/>
    <w:rsid w:val="00816DE7"/>
    <w:rsid w:val="008172BF"/>
    <w:rsid w:val="00821080"/>
    <w:rsid w:val="00822FEA"/>
    <w:rsid w:val="008238F2"/>
    <w:rsid w:val="00825061"/>
    <w:rsid w:val="0082555D"/>
    <w:rsid w:val="00830B39"/>
    <w:rsid w:val="0083121E"/>
    <w:rsid w:val="00833A7F"/>
    <w:rsid w:val="00835B12"/>
    <w:rsid w:val="00835FE4"/>
    <w:rsid w:val="00836347"/>
    <w:rsid w:val="008365D1"/>
    <w:rsid w:val="00841495"/>
    <w:rsid w:val="00847EBD"/>
    <w:rsid w:val="00847F99"/>
    <w:rsid w:val="008503EA"/>
    <w:rsid w:val="0085109E"/>
    <w:rsid w:val="008511E5"/>
    <w:rsid w:val="00852087"/>
    <w:rsid w:val="00853FD5"/>
    <w:rsid w:val="0085456D"/>
    <w:rsid w:val="00854E75"/>
    <w:rsid w:val="00854EB3"/>
    <w:rsid w:val="0085515A"/>
    <w:rsid w:val="0085525E"/>
    <w:rsid w:val="0085595C"/>
    <w:rsid w:val="00856DA0"/>
    <w:rsid w:val="0086069A"/>
    <w:rsid w:val="00860DC3"/>
    <w:rsid w:val="00862CF6"/>
    <w:rsid w:val="008638AF"/>
    <w:rsid w:val="0086615E"/>
    <w:rsid w:val="00866867"/>
    <w:rsid w:val="00866A37"/>
    <w:rsid w:val="0087027F"/>
    <w:rsid w:val="00871734"/>
    <w:rsid w:val="00872321"/>
    <w:rsid w:val="00872A07"/>
    <w:rsid w:val="0087628A"/>
    <w:rsid w:val="008821D8"/>
    <w:rsid w:val="00883374"/>
    <w:rsid w:val="00884EEC"/>
    <w:rsid w:val="00886E2D"/>
    <w:rsid w:val="00890FB6"/>
    <w:rsid w:val="00891F1A"/>
    <w:rsid w:val="008928A0"/>
    <w:rsid w:val="00892C7C"/>
    <w:rsid w:val="00893ACF"/>
    <w:rsid w:val="00894584"/>
    <w:rsid w:val="008952C8"/>
    <w:rsid w:val="00896A1E"/>
    <w:rsid w:val="00897427"/>
    <w:rsid w:val="008A2EEF"/>
    <w:rsid w:val="008A6187"/>
    <w:rsid w:val="008B1C6C"/>
    <w:rsid w:val="008B21E2"/>
    <w:rsid w:val="008B25B3"/>
    <w:rsid w:val="008B2E84"/>
    <w:rsid w:val="008B45B1"/>
    <w:rsid w:val="008B4EC9"/>
    <w:rsid w:val="008C0C6F"/>
    <w:rsid w:val="008C2744"/>
    <w:rsid w:val="008C3365"/>
    <w:rsid w:val="008C34C0"/>
    <w:rsid w:val="008C3AF3"/>
    <w:rsid w:val="008C45EA"/>
    <w:rsid w:val="008C4637"/>
    <w:rsid w:val="008C4F7B"/>
    <w:rsid w:val="008C6907"/>
    <w:rsid w:val="008D15B9"/>
    <w:rsid w:val="008D1A13"/>
    <w:rsid w:val="008D1D49"/>
    <w:rsid w:val="008D2665"/>
    <w:rsid w:val="008D5000"/>
    <w:rsid w:val="008D59D7"/>
    <w:rsid w:val="008D6529"/>
    <w:rsid w:val="008D793B"/>
    <w:rsid w:val="008E1A5E"/>
    <w:rsid w:val="008E439E"/>
    <w:rsid w:val="008E4660"/>
    <w:rsid w:val="008E61FE"/>
    <w:rsid w:val="008E7046"/>
    <w:rsid w:val="008E7784"/>
    <w:rsid w:val="008F10BD"/>
    <w:rsid w:val="008F1831"/>
    <w:rsid w:val="008F1BBE"/>
    <w:rsid w:val="008F26C4"/>
    <w:rsid w:val="008F34A7"/>
    <w:rsid w:val="008F387D"/>
    <w:rsid w:val="008F3975"/>
    <w:rsid w:val="008F412A"/>
    <w:rsid w:val="008F4501"/>
    <w:rsid w:val="008F48A8"/>
    <w:rsid w:val="008F56DC"/>
    <w:rsid w:val="008F6592"/>
    <w:rsid w:val="00900FE1"/>
    <w:rsid w:val="00901549"/>
    <w:rsid w:val="00902B03"/>
    <w:rsid w:val="00903610"/>
    <w:rsid w:val="00904785"/>
    <w:rsid w:val="0090581C"/>
    <w:rsid w:val="00905869"/>
    <w:rsid w:val="009058BC"/>
    <w:rsid w:val="00907EE0"/>
    <w:rsid w:val="00910B8B"/>
    <w:rsid w:val="00911615"/>
    <w:rsid w:val="00912CDD"/>
    <w:rsid w:val="00914342"/>
    <w:rsid w:val="009145FE"/>
    <w:rsid w:val="00914B1D"/>
    <w:rsid w:val="00914B3D"/>
    <w:rsid w:val="00915337"/>
    <w:rsid w:val="009171DC"/>
    <w:rsid w:val="00917459"/>
    <w:rsid w:val="00925022"/>
    <w:rsid w:val="00926E19"/>
    <w:rsid w:val="00930464"/>
    <w:rsid w:val="009311DA"/>
    <w:rsid w:val="009333A7"/>
    <w:rsid w:val="009351C0"/>
    <w:rsid w:val="00935360"/>
    <w:rsid w:val="0094044D"/>
    <w:rsid w:val="009412E4"/>
    <w:rsid w:val="0094396E"/>
    <w:rsid w:val="009452CA"/>
    <w:rsid w:val="00946CF1"/>
    <w:rsid w:val="00946E48"/>
    <w:rsid w:val="00953D97"/>
    <w:rsid w:val="00953FC9"/>
    <w:rsid w:val="00955DB3"/>
    <w:rsid w:val="009561B4"/>
    <w:rsid w:val="00956211"/>
    <w:rsid w:val="0095739E"/>
    <w:rsid w:val="00957D71"/>
    <w:rsid w:val="00957F4F"/>
    <w:rsid w:val="009628E9"/>
    <w:rsid w:val="00962956"/>
    <w:rsid w:val="00964425"/>
    <w:rsid w:val="00964AC7"/>
    <w:rsid w:val="0096585B"/>
    <w:rsid w:val="0096593B"/>
    <w:rsid w:val="00965FBD"/>
    <w:rsid w:val="0097024B"/>
    <w:rsid w:val="00972E53"/>
    <w:rsid w:val="00974C34"/>
    <w:rsid w:val="00975213"/>
    <w:rsid w:val="0097666A"/>
    <w:rsid w:val="00980098"/>
    <w:rsid w:val="00980576"/>
    <w:rsid w:val="0098130A"/>
    <w:rsid w:val="00981CAF"/>
    <w:rsid w:val="00984346"/>
    <w:rsid w:val="00986BE4"/>
    <w:rsid w:val="00987187"/>
    <w:rsid w:val="00987528"/>
    <w:rsid w:val="00992F15"/>
    <w:rsid w:val="00993EA0"/>
    <w:rsid w:val="0099420E"/>
    <w:rsid w:val="00995B7A"/>
    <w:rsid w:val="0099654D"/>
    <w:rsid w:val="009965B5"/>
    <w:rsid w:val="0099697F"/>
    <w:rsid w:val="009A2CEA"/>
    <w:rsid w:val="009A3723"/>
    <w:rsid w:val="009A3777"/>
    <w:rsid w:val="009A4083"/>
    <w:rsid w:val="009A529A"/>
    <w:rsid w:val="009A6E5F"/>
    <w:rsid w:val="009A7F6F"/>
    <w:rsid w:val="009B1592"/>
    <w:rsid w:val="009B1C3C"/>
    <w:rsid w:val="009B3A92"/>
    <w:rsid w:val="009B45F1"/>
    <w:rsid w:val="009B48AB"/>
    <w:rsid w:val="009B4EBA"/>
    <w:rsid w:val="009B6A10"/>
    <w:rsid w:val="009B6D61"/>
    <w:rsid w:val="009B7254"/>
    <w:rsid w:val="009C076C"/>
    <w:rsid w:val="009C14BE"/>
    <w:rsid w:val="009C191A"/>
    <w:rsid w:val="009C207F"/>
    <w:rsid w:val="009C55C8"/>
    <w:rsid w:val="009C69FA"/>
    <w:rsid w:val="009D2C87"/>
    <w:rsid w:val="009D31C9"/>
    <w:rsid w:val="009D6221"/>
    <w:rsid w:val="009D63C8"/>
    <w:rsid w:val="009D667A"/>
    <w:rsid w:val="009D6BDF"/>
    <w:rsid w:val="009D78E3"/>
    <w:rsid w:val="009D7EE5"/>
    <w:rsid w:val="009E7B0A"/>
    <w:rsid w:val="009F1726"/>
    <w:rsid w:val="009F26EA"/>
    <w:rsid w:val="009F29F4"/>
    <w:rsid w:val="009F4517"/>
    <w:rsid w:val="009F61C7"/>
    <w:rsid w:val="009F7847"/>
    <w:rsid w:val="00A006FB"/>
    <w:rsid w:val="00A024B5"/>
    <w:rsid w:val="00A0547D"/>
    <w:rsid w:val="00A057FD"/>
    <w:rsid w:val="00A05967"/>
    <w:rsid w:val="00A05F84"/>
    <w:rsid w:val="00A110BF"/>
    <w:rsid w:val="00A11604"/>
    <w:rsid w:val="00A14C66"/>
    <w:rsid w:val="00A15A52"/>
    <w:rsid w:val="00A15E4E"/>
    <w:rsid w:val="00A175D5"/>
    <w:rsid w:val="00A200A2"/>
    <w:rsid w:val="00A20D2A"/>
    <w:rsid w:val="00A21822"/>
    <w:rsid w:val="00A21BE6"/>
    <w:rsid w:val="00A2696C"/>
    <w:rsid w:val="00A31E54"/>
    <w:rsid w:val="00A34813"/>
    <w:rsid w:val="00A34A85"/>
    <w:rsid w:val="00A354B5"/>
    <w:rsid w:val="00A3588F"/>
    <w:rsid w:val="00A35E03"/>
    <w:rsid w:val="00A408EC"/>
    <w:rsid w:val="00A40BEF"/>
    <w:rsid w:val="00A40FC4"/>
    <w:rsid w:val="00A42647"/>
    <w:rsid w:val="00A4573A"/>
    <w:rsid w:val="00A46320"/>
    <w:rsid w:val="00A46392"/>
    <w:rsid w:val="00A5093D"/>
    <w:rsid w:val="00A52783"/>
    <w:rsid w:val="00A53400"/>
    <w:rsid w:val="00A54CB6"/>
    <w:rsid w:val="00A55734"/>
    <w:rsid w:val="00A557D0"/>
    <w:rsid w:val="00A56590"/>
    <w:rsid w:val="00A60112"/>
    <w:rsid w:val="00A625D6"/>
    <w:rsid w:val="00A62A65"/>
    <w:rsid w:val="00A6358D"/>
    <w:rsid w:val="00A63790"/>
    <w:rsid w:val="00A637CA"/>
    <w:rsid w:val="00A6409F"/>
    <w:rsid w:val="00A64469"/>
    <w:rsid w:val="00A64E0A"/>
    <w:rsid w:val="00A6569F"/>
    <w:rsid w:val="00A65D2F"/>
    <w:rsid w:val="00A72E09"/>
    <w:rsid w:val="00A754BC"/>
    <w:rsid w:val="00A76B72"/>
    <w:rsid w:val="00A77735"/>
    <w:rsid w:val="00A800C8"/>
    <w:rsid w:val="00A816E2"/>
    <w:rsid w:val="00A82EC7"/>
    <w:rsid w:val="00A87776"/>
    <w:rsid w:val="00A946FC"/>
    <w:rsid w:val="00A94ABB"/>
    <w:rsid w:val="00A968F6"/>
    <w:rsid w:val="00AA22F8"/>
    <w:rsid w:val="00AA2607"/>
    <w:rsid w:val="00AA2D21"/>
    <w:rsid w:val="00AA603B"/>
    <w:rsid w:val="00AA621D"/>
    <w:rsid w:val="00AA7230"/>
    <w:rsid w:val="00AB20B8"/>
    <w:rsid w:val="00AB29AD"/>
    <w:rsid w:val="00AB3A08"/>
    <w:rsid w:val="00AB43AD"/>
    <w:rsid w:val="00AB5CC7"/>
    <w:rsid w:val="00AC015B"/>
    <w:rsid w:val="00AC2A3F"/>
    <w:rsid w:val="00AC2CF5"/>
    <w:rsid w:val="00AC32E0"/>
    <w:rsid w:val="00AC4082"/>
    <w:rsid w:val="00AC5466"/>
    <w:rsid w:val="00AD05A5"/>
    <w:rsid w:val="00AD0B53"/>
    <w:rsid w:val="00AD124F"/>
    <w:rsid w:val="00AD3578"/>
    <w:rsid w:val="00AD3D8A"/>
    <w:rsid w:val="00AD3F86"/>
    <w:rsid w:val="00AD451B"/>
    <w:rsid w:val="00AD670A"/>
    <w:rsid w:val="00AD7248"/>
    <w:rsid w:val="00AE08AE"/>
    <w:rsid w:val="00AE10F9"/>
    <w:rsid w:val="00AE1CF0"/>
    <w:rsid w:val="00AE1D5E"/>
    <w:rsid w:val="00AE2D46"/>
    <w:rsid w:val="00AE3AC2"/>
    <w:rsid w:val="00AE4EDE"/>
    <w:rsid w:val="00AE4EE7"/>
    <w:rsid w:val="00AE59F5"/>
    <w:rsid w:val="00AE743D"/>
    <w:rsid w:val="00AF0476"/>
    <w:rsid w:val="00AF0FC4"/>
    <w:rsid w:val="00AF1025"/>
    <w:rsid w:val="00AF190C"/>
    <w:rsid w:val="00AF4632"/>
    <w:rsid w:val="00AF4AB2"/>
    <w:rsid w:val="00AF5ABA"/>
    <w:rsid w:val="00AF70CF"/>
    <w:rsid w:val="00B00770"/>
    <w:rsid w:val="00B017B3"/>
    <w:rsid w:val="00B02B7B"/>
    <w:rsid w:val="00B02E54"/>
    <w:rsid w:val="00B06BE7"/>
    <w:rsid w:val="00B10105"/>
    <w:rsid w:val="00B10E80"/>
    <w:rsid w:val="00B13863"/>
    <w:rsid w:val="00B14B47"/>
    <w:rsid w:val="00B1504A"/>
    <w:rsid w:val="00B1730E"/>
    <w:rsid w:val="00B17E10"/>
    <w:rsid w:val="00B20C06"/>
    <w:rsid w:val="00B211D8"/>
    <w:rsid w:val="00B21969"/>
    <w:rsid w:val="00B21AE3"/>
    <w:rsid w:val="00B271EC"/>
    <w:rsid w:val="00B27240"/>
    <w:rsid w:val="00B30B2D"/>
    <w:rsid w:val="00B33330"/>
    <w:rsid w:val="00B337F1"/>
    <w:rsid w:val="00B35855"/>
    <w:rsid w:val="00B35A19"/>
    <w:rsid w:val="00B403B4"/>
    <w:rsid w:val="00B4515B"/>
    <w:rsid w:val="00B46B4B"/>
    <w:rsid w:val="00B47177"/>
    <w:rsid w:val="00B5289A"/>
    <w:rsid w:val="00B54766"/>
    <w:rsid w:val="00B54BBA"/>
    <w:rsid w:val="00B57641"/>
    <w:rsid w:val="00B579BA"/>
    <w:rsid w:val="00B605A3"/>
    <w:rsid w:val="00B61000"/>
    <w:rsid w:val="00B641FC"/>
    <w:rsid w:val="00B64790"/>
    <w:rsid w:val="00B6680C"/>
    <w:rsid w:val="00B70798"/>
    <w:rsid w:val="00B752D0"/>
    <w:rsid w:val="00B75A0A"/>
    <w:rsid w:val="00B761E3"/>
    <w:rsid w:val="00B77ABA"/>
    <w:rsid w:val="00B77B3D"/>
    <w:rsid w:val="00B815B1"/>
    <w:rsid w:val="00B82196"/>
    <w:rsid w:val="00B83CFA"/>
    <w:rsid w:val="00B8464B"/>
    <w:rsid w:val="00B90706"/>
    <w:rsid w:val="00B91401"/>
    <w:rsid w:val="00B928B8"/>
    <w:rsid w:val="00B929CC"/>
    <w:rsid w:val="00B93D5C"/>
    <w:rsid w:val="00B94773"/>
    <w:rsid w:val="00B94C77"/>
    <w:rsid w:val="00B96DCF"/>
    <w:rsid w:val="00B97075"/>
    <w:rsid w:val="00BA009E"/>
    <w:rsid w:val="00BA0F22"/>
    <w:rsid w:val="00BA2648"/>
    <w:rsid w:val="00BA4B2D"/>
    <w:rsid w:val="00BA5E9A"/>
    <w:rsid w:val="00BB2FB3"/>
    <w:rsid w:val="00BB4030"/>
    <w:rsid w:val="00BB52AD"/>
    <w:rsid w:val="00BB6001"/>
    <w:rsid w:val="00BB64BB"/>
    <w:rsid w:val="00BB76AC"/>
    <w:rsid w:val="00BB7AA7"/>
    <w:rsid w:val="00BC1CCB"/>
    <w:rsid w:val="00BC2081"/>
    <w:rsid w:val="00BC48F8"/>
    <w:rsid w:val="00BC528C"/>
    <w:rsid w:val="00BC5396"/>
    <w:rsid w:val="00BC5ADF"/>
    <w:rsid w:val="00BC5D95"/>
    <w:rsid w:val="00BC6E9A"/>
    <w:rsid w:val="00BD0DDA"/>
    <w:rsid w:val="00BD0F41"/>
    <w:rsid w:val="00BD14EA"/>
    <w:rsid w:val="00BD2073"/>
    <w:rsid w:val="00BD4E34"/>
    <w:rsid w:val="00BD5BBA"/>
    <w:rsid w:val="00BD638A"/>
    <w:rsid w:val="00BD6859"/>
    <w:rsid w:val="00BD7119"/>
    <w:rsid w:val="00BD736F"/>
    <w:rsid w:val="00BE14FC"/>
    <w:rsid w:val="00BE21DE"/>
    <w:rsid w:val="00BE2CAE"/>
    <w:rsid w:val="00BE3236"/>
    <w:rsid w:val="00BE357E"/>
    <w:rsid w:val="00BF3D0E"/>
    <w:rsid w:val="00BF3F40"/>
    <w:rsid w:val="00BF4B44"/>
    <w:rsid w:val="00BF556B"/>
    <w:rsid w:val="00BF6C6E"/>
    <w:rsid w:val="00BF6E88"/>
    <w:rsid w:val="00C011D5"/>
    <w:rsid w:val="00C01C8F"/>
    <w:rsid w:val="00C01E73"/>
    <w:rsid w:val="00C02A6A"/>
    <w:rsid w:val="00C04110"/>
    <w:rsid w:val="00C041CE"/>
    <w:rsid w:val="00C05D40"/>
    <w:rsid w:val="00C077A4"/>
    <w:rsid w:val="00C07C1E"/>
    <w:rsid w:val="00C10BD1"/>
    <w:rsid w:val="00C10CFB"/>
    <w:rsid w:val="00C10DC6"/>
    <w:rsid w:val="00C10FCA"/>
    <w:rsid w:val="00C1200E"/>
    <w:rsid w:val="00C12416"/>
    <w:rsid w:val="00C13C60"/>
    <w:rsid w:val="00C14573"/>
    <w:rsid w:val="00C17871"/>
    <w:rsid w:val="00C22A25"/>
    <w:rsid w:val="00C2417B"/>
    <w:rsid w:val="00C25AE7"/>
    <w:rsid w:val="00C32548"/>
    <w:rsid w:val="00C32629"/>
    <w:rsid w:val="00C41342"/>
    <w:rsid w:val="00C43BAD"/>
    <w:rsid w:val="00C43E1C"/>
    <w:rsid w:val="00C44189"/>
    <w:rsid w:val="00C4429A"/>
    <w:rsid w:val="00C4456E"/>
    <w:rsid w:val="00C459A0"/>
    <w:rsid w:val="00C50FAA"/>
    <w:rsid w:val="00C51EBD"/>
    <w:rsid w:val="00C53B25"/>
    <w:rsid w:val="00C542C6"/>
    <w:rsid w:val="00C546F0"/>
    <w:rsid w:val="00C55055"/>
    <w:rsid w:val="00C564EB"/>
    <w:rsid w:val="00C56561"/>
    <w:rsid w:val="00C61C2A"/>
    <w:rsid w:val="00C63512"/>
    <w:rsid w:val="00C656DF"/>
    <w:rsid w:val="00C66A6F"/>
    <w:rsid w:val="00C70772"/>
    <w:rsid w:val="00C71362"/>
    <w:rsid w:val="00C71DA8"/>
    <w:rsid w:val="00C7205A"/>
    <w:rsid w:val="00C723D1"/>
    <w:rsid w:val="00C74696"/>
    <w:rsid w:val="00C75A6A"/>
    <w:rsid w:val="00C775C6"/>
    <w:rsid w:val="00C80B1D"/>
    <w:rsid w:val="00C82BC1"/>
    <w:rsid w:val="00C83645"/>
    <w:rsid w:val="00C87910"/>
    <w:rsid w:val="00C90F5B"/>
    <w:rsid w:val="00C91263"/>
    <w:rsid w:val="00C91367"/>
    <w:rsid w:val="00C928F4"/>
    <w:rsid w:val="00C943F9"/>
    <w:rsid w:val="00C96B8B"/>
    <w:rsid w:val="00CA09B7"/>
    <w:rsid w:val="00CA2B1F"/>
    <w:rsid w:val="00CA4FD5"/>
    <w:rsid w:val="00CA6E8A"/>
    <w:rsid w:val="00CB038C"/>
    <w:rsid w:val="00CB0D87"/>
    <w:rsid w:val="00CB1617"/>
    <w:rsid w:val="00CB1694"/>
    <w:rsid w:val="00CB669A"/>
    <w:rsid w:val="00CC1AF2"/>
    <w:rsid w:val="00CC1BEF"/>
    <w:rsid w:val="00CC56E5"/>
    <w:rsid w:val="00CC6469"/>
    <w:rsid w:val="00CD08AD"/>
    <w:rsid w:val="00CD108F"/>
    <w:rsid w:val="00CD1D32"/>
    <w:rsid w:val="00CD1E77"/>
    <w:rsid w:val="00CD2001"/>
    <w:rsid w:val="00CD2277"/>
    <w:rsid w:val="00CE0630"/>
    <w:rsid w:val="00CE2451"/>
    <w:rsid w:val="00CE4DCC"/>
    <w:rsid w:val="00CE59C7"/>
    <w:rsid w:val="00CE64FC"/>
    <w:rsid w:val="00CE6AAD"/>
    <w:rsid w:val="00CE720D"/>
    <w:rsid w:val="00CE75C0"/>
    <w:rsid w:val="00CF19D2"/>
    <w:rsid w:val="00CF1CDF"/>
    <w:rsid w:val="00CF2FB9"/>
    <w:rsid w:val="00CF36A8"/>
    <w:rsid w:val="00CF580D"/>
    <w:rsid w:val="00CF6D83"/>
    <w:rsid w:val="00CF6DD9"/>
    <w:rsid w:val="00CF7363"/>
    <w:rsid w:val="00D01371"/>
    <w:rsid w:val="00D0146C"/>
    <w:rsid w:val="00D01AB2"/>
    <w:rsid w:val="00D04918"/>
    <w:rsid w:val="00D06FC0"/>
    <w:rsid w:val="00D07D55"/>
    <w:rsid w:val="00D103C3"/>
    <w:rsid w:val="00D1055B"/>
    <w:rsid w:val="00D10D5A"/>
    <w:rsid w:val="00D12E4E"/>
    <w:rsid w:val="00D13FC0"/>
    <w:rsid w:val="00D157D4"/>
    <w:rsid w:val="00D15BBE"/>
    <w:rsid w:val="00D17377"/>
    <w:rsid w:val="00D17ED4"/>
    <w:rsid w:val="00D20D77"/>
    <w:rsid w:val="00D22550"/>
    <w:rsid w:val="00D231D8"/>
    <w:rsid w:val="00D2323C"/>
    <w:rsid w:val="00D25D2B"/>
    <w:rsid w:val="00D26215"/>
    <w:rsid w:val="00D2795E"/>
    <w:rsid w:val="00D27B16"/>
    <w:rsid w:val="00D3068A"/>
    <w:rsid w:val="00D32420"/>
    <w:rsid w:val="00D366BE"/>
    <w:rsid w:val="00D37650"/>
    <w:rsid w:val="00D4172C"/>
    <w:rsid w:val="00D42FD9"/>
    <w:rsid w:val="00D442D5"/>
    <w:rsid w:val="00D46B0E"/>
    <w:rsid w:val="00D46BBA"/>
    <w:rsid w:val="00D5084C"/>
    <w:rsid w:val="00D5094E"/>
    <w:rsid w:val="00D5111C"/>
    <w:rsid w:val="00D53319"/>
    <w:rsid w:val="00D534AC"/>
    <w:rsid w:val="00D53522"/>
    <w:rsid w:val="00D558C8"/>
    <w:rsid w:val="00D606D2"/>
    <w:rsid w:val="00D6094F"/>
    <w:rsid w:val="00D61443"/>
    <w:rsid w:val="00D6151A"/>
    <w:rsid w:val="00D61D5E"/>
    <w:rsid w:val="00D626EE"/>
    <w:rsid w:val="00D628D3"/>
    <w:rsid w:val="00D64919"/>
    <w:rsid w:val="00D65B65"/>
    <w:rsid w:val="00D70814"/>
    <w:rsid w:val="00D70EF7"/>
    <w:rsid w:val="00D714A9"/>
    <w:rsid w:val="00D71696"/>
    <w:rsid w:val="00D72156"/>
    <w:rsid w:val="00D72895"/>
    <w:rsid w:val="00D7362E"/>
    <w:rsid w:val="00D73CFF"/>
    <w:rsid w:val="00D76413"/>
    <w:rsid w:val="00D76AB2"/>
    <w:rsid w:val="00D771CF"/>
    <w:rsid w:val="00D812ED"/>
    <w:rsid w:val="00D8239B"/>
    <w:rsid w:val="00D84BB6"/>
    <w:rsid w:val="00D86176"/>
    <w:rsid w:val="00D90CD0"/>
    <w:rsid w:val="00D910DB"/>
    <w:rsid w:val="00D939B1"/>
    <w:rsid w:val="00D95178"/>
    <w:rsid w:val="00D9560A"/>
    <w:rsid w:val="00D95AF9"/>
    <w:rsid w:val="00D96519"/>
    <w:rsid w:val="00D969E7"/>
    <w:rsid w:val="00D972D8"/>
    <w:rsid w:val="00DA0A64"/>
    <w:rsid w:val="00DA392C"/>
    <w:rsid w:val="00DA3C64"/>
    <w:rsid w:val="00DA41B8"/>
    <w:rsid w:val="00DA6F2E"/>
    <w:rsid w:val="00DA728D"/>
    <w:rsid w:val="00DB09B4"/>
    <w:rsid w:val="00DB0C64"/>
    <w:rsid w:val="00DB12E8"/>
    <w:rsid w:val="00DB52DF"/>
    <w:rsid w:val="00DB7524"/>
    <w:rsid w:val="00DB78D7"/>
    <w:rsid w:val="00DC3B2A"/>
    <w:rsid w:val="00DC4978"/>
    <w:rsid w:val="00DC5FE0"/>
    <w:rsid w:val="00DC61C9"/>
    <w:rsid w:val="00DD1660"/>
    <w:rsid w:val="00DD2926"/>
    <w:rsid w:val="00DD395D"/>
    <w:rsid w:val="00DD6BB0"/>
    <w:rsid w:val="00DD7AE7"/>
    <w:rsid w:val="00DE1607"/>
    <w:rsid w:val="00DE6EF2"/>
    <w:rsid w:val="00DE7C6A"/>
    <w:rsid w:val="00DF56A8"/>
    <w:rsid w:val="00E004F6"/>
    <w:rsid w:val="00E00715"/>
    <w:rsid w:val="00E01787"/>
    <w:rsid w:val="00E03CA4"/>
    <w:rsid w:val="00E059F2"/>
    <w:rsid w:val="00E05F94"/>
    <w:rsid w:val="00E060A2"/>
    <w:rsid w:val="00E10A02"/>
    <w:rsid w:val="00E10A5E"/>
    <w:rsid w:val="00E11DBF"/>
    <w:rsid w:val="00E12AFA"/>
    <w:rsid w:val="00E136A8"/>
    <w:rsid w:val="00E13DB7"/>
    <w:rsid w:val="00E144A8"/>
    <w:rsid w:val="00E148B9"/>
    <w:rsid w:val="00E164D9"/>
    <w:rsid w:val="00E21D91"/>
    <w:rsid w:val="00E21EDC"/>
    <w:rsid w:val="00E2480E"/>
    <w:rsid w:val="00E24BF1"/>
    <w:rsid w:val="00E3028F"/>
    <w:rsid w:val="00E31095"/>
    <w:rsid w:val="00E32DE4"/>
    <w:rsid w:val="00E33136"/>
    <w:rsid w:val="00E354ED"/>
    <w:rsid w:val="00E35B9B"/>
    <w:rsid w:val="00E376B6"/>
    <w:rsid w:val="00E40DA2"/>
    <w:rsid w:val="00E40ECF"/>
    <w:rsid w:val="00E426F7"/>
    <w:rsid w:val="00E42AD4"/>
    <w:rsid w:val="00E42E43"/>
    <w:rsid w:val="00E43BA2"/>
    <w:rsid w:val="00E440E6"/>
    <w:rsid w:val="00E45032"/>
    <w:rsid w:val="00E45536"/>
    <w:rsid w:val="00E456AE"/>
    <w:rsid w:val="00E479C8"/>
    <w:rsid w:val="00E52AA7"/>
    <w:rsid w:val="00E532CE"/>
    <w:rsid w:val="00E563DB"/>
    <w:rsid w:val="00E5658C"/>
    <w:rsid w:val="00E56617"/>
    <w:rsid w:val="00E607AB"/>
    <w:rsid w:val="00E60E9F"/>
    <w:rsid w:val="00E61069"/>
    <w:rsid w:val="00E63D7B"/>
    <w:rsid w:val="00E65652"/>
    <w:rsid w:val="00E657BE"/>
    <w:rsid w:val="00E661C9"/>
    <w:rsid w:val="00E667A5"/>
    <w:rsid w:val="00E676E7"/>
    <w:rsid w:val="00E7063A"/>
    <w:rsid w:val="00E71814"/>
    <w:rsid w:val="00E71EB0"/>
    <w:rsid w:val="00E7404B"/>
    <w:rsid w:val="00E74B4C"/>
    <w:rsid w:val="00E77359"/>
    <w:rsid w:val="00E81210"/>
    <w:rsid w:val="00E8272C"/>
    <w:rsid w:val="00E833C6"/>
    <w:rsid w:val="00E83E49"/>
    <w:rsid w:val="00E86F08"/>
    <w:rsid w:val="00E87003"/>
    <w:rsid w:val="00E879EC"/>
    <w:rsid w:val="00E916E9"/>
    <w:rsid w:val="00E91E29"/>
    <w:rsid w:val="00E93687"/>
    <w:rsid w:val="00E948E3"/>
    <w:rsid w:val="00E955E3"/>
    <w:rsid w:val="00E95ECE"/>
    <w:rsid w:val="00E96828"/>
    <w:rsid w:val="00EA086E"/>
    <w:rsid w:val="00EA289F"/>
    <w:rsid w:val="00EA3380"/>
    <w:rsid w:val="00EA4064"/>
    <w:rsid w:val="00EA5D30"/>
    <w:rsid w:val="00EA65DF"/>
    <w:rsid w:val="00EA7BC8"/>
    <w:rsid w:val="00EB046D"/>
    <w:rsid w:val="00EB207A"/>
    <w:rsid w:val="00EB580B"/>
    <w:rsid w:val="00EB7ABC"/>
    <w:rsid w:val="00EB7D86"/>
    <w:rsid w:val="00EC03FC"/>
    <w:rsid w:val="00EC2316"/>
    <w:rsid w:val="00EC2EFC"/>
    <w:rsid w:val="00EC3A8F"/>
    <w:rsid w:val="00EC43B2"/>
    <w:rsid w:val="00EC4AAC"/>
    <w:rsid w:val="00EC4EE0"/>
    <w:rsid w:val="00EC5E2B"/>
    <w:rsid w:val="00EC65EA"/>
    <w:rsid w:val="00EC6A89"/>
    <w:rsid w:val="00EC7C62"/>
    <w:rsid w:val="00ED48A4"/>
    <w:rsid w:val="00ED563B"/>
    <w:rsid w:val="00ED5F0E"/>
    <w:rsid w:val="00ED7FE7"/>
    <w:rsid w:val="00EE0484"/>
    <w:rsid w:val="00EE5728"/>
    <w:rsid w:val="00EE773C"/>
    <w:rsid w:val="00EE7E45"/>
    <w:rsid w:val="00EF0FBB"/>
    <w:rsid w:val="00EF1BE1"/>
    <w:rsid w:val="00EF34EE"/>
    <w:rsid w:val="00EF370D"/>
    <w:rsid w:val="00EF4FBF"/>
    <w:rsid w:val="00EF5638"/>
    <w:rsid w:val="00EF583F"/>
    <w:rsid w:val="00F04F9E"/>
    <w:rsid w:val="00F062DE"/>
    <w:rsid w:val="00F07009"/>
    <w:rsid w:val="00F10BE2"/>
    <w:rsid w:val="00F10C68"/>
    <w:rsid w:val="00F115AE"/>
    <w:rsid w:val="00F1300F"/>
    <w:rsid w:val="00F14376"/>
    <w:rsid w:val="00F16AC1"/>
    <w:rsid w:val="00F17026"/>
    <w:rsid w:val="00F17835"/>
    <w:rsid w:val="00F213EC"/>
    <w:rsid w:val="00F21411"/>
    <w:rsid w:val="00F220C3"/>
    <w:rsid w:val="00F2229F"/>
    <w:rsid w:val="00F2358F"/>
    <w:rsid w:val="00F256A8"/>
    <w:rsid w:val="00F271FB"/>
    <w:rsid w:val="00F335DF"/>
    <w:rsid w:val="00F40D61"/>
    <w:rsid w:val="00F42E06"/>
    <w:rsid w:val="00F42F06"/>
    <w:rsid w:val="00F43860"/>
    <w:rsid w:val="00F46EDD"/>
    <w:rsid w:val="00F508F4"/>
    <w:rsid w:val="00F51E04"/>
    <w:rsid w:val="00F52245"/>
    <w:rsid w:val="00F5291D"/>
    <w:rsid w:val="00F52A4B"/>
    <w:rsid w:val="00F544A3"/>
    <w:rsid w:val="00F55F3D"/>
    <w:rsid w:val="00F5620A"/>
    <w:rsid w:val="00F57CA1"/>
    <w:rsid w:val="00F603AF"/>
    <w:rsid w:val="00F60719"/>
    <w:rsid w:val="00F6267A"/>
    <w:rsid w:val="00F6440A"/>
    <w:rsid w:val="00F6493C"/>
    <w:rsid w:val="00F67323"/>
    <w:rsid w:val="00F72CA5"/>
    <w:rsid w:val="00F752B3"/>
    <w:rsid w:val="00F768BB"/>
    <w:rsid w:val="00F772B1"/>
    <w:rsid w:val="00F80C80"/>
    <w:rsid w:val="00F817F2"/>
    <w:rsid w:val="00F82793"/>
    <w:rsid w:val="00F829AE"/>
    <w:rsid w:val="00F82D75"/>
    <w:rsid w:val="00F840AD"/>
    <w:rsid w:val="00F863F6"/>
    <w:rsid w:val="00F87129"/>
    <w:rsid w:val="00F87AF8"/>
    <w:rsid w:val="00F90473"/>
    <w:rsid w:val="00F9110B"/>
    <w:rsid w:val="00F929F0"/>
    <w:rsid w:val="00F93588"/>
    <w:rsid w:val="00F9372E"/>
    <w:rsid w:val="00F945A8"/>
    <w:rsid w:val="00F95B28"/>
    <w:rsid w:val="00F97617"/>
    <w:rsid w:val="00FA026C"/>
    <w:rsid w:val="00FA078E"/>
    <w:rsid w:val="00FA0E4F"/>
    <w:rsid w:val="00FA3B8A"/>
    <w:rsid w:val="00FA5374"/>
    <w:rsid w:val="00FA646F"/>
    <w:rsid w:val="00FA690A"/>
    <w:rsid w:val="00FA71FD"/>
    <w:rsid w:val="00FB145A"/>
    <w:rsid w:val="00FB1992"/>
    <w:rsid w:val="00FB265F"/>
    <w:rsid w:val="00FB3739"/>
    <w:rsid w:val="00FB37EA"/>
    <w:rsid w:val="00FB454D"/>
    <w:rsid w:val="00FB4AFC"/>
    <w:rsid w:val="00FB4B65"/>
    <w:rsid w:val="00FB515C"/>
    <w:rsid w:val="00FB5542"/>
    <w:rsid w:val="00FB646A"/>
    <w:rsid w:val="00FB6692"/>
    <w:rsid w:val="00FB6C5F"/>
    <w:rsid w:val="00FC121C"/>
    <w:rsid w:val="00FC1A7F"/>
    <w:rsid w:val="00FC1BA6"/>
    <w:rsid w:val="00FC5FBA"/>
    <w:rsid w:val="00FD1912"/>
    <w:rsid w:val="00FD1B76"/>
    <w:rsid w:val="00FD2414"/>
    <w:rsid w:val="00FD2A68"/>
    <w:rsid w:val="00FD3820"/>
    <w:rsid w:val="00FD3B53"/>
    <w:rsid w:val="00FD48DD"/>
    <w:rsid w:val="00FD4D5B"/>
    <w:rsid w:val="00FD5798"/>
    <w:rsid w:val="00FD6B63"/>
    <w:rsid w:val="00FD6F46"/>
    <w:rsid w:val="00FD7596"/>
    <w:rsid w:val="00FE10BD"/>
    <w:rsid w:val="00FE138D"/>
    <w:rsid w:val="00FE1AAA"/>
    <w:rsid w:val="00FE2E88"/>
    <w:rsid w:val="00FE3723"/>
    <w:rsid w:val="00FE3DF7"/>
    <w:rsid w:val="00FE3F05"/>
    <w:rsid w:val="00FE5527"/>
    <w:rsid w:val="00FE6666"/>
    <w:rsid w:val="00FF08EF"/>
    <w:rsid w:val="00FF0DE1"/>
    <w:rsid w:val="00FF11BB"/>
    <w:rsid w:val="00FF1642"/>
    <w:rsid w:val="00FF2F16"/>
    <w:rsid w:val="00FF7131"/>
    <w:rsid w:val="00FF779C"/>
    <w:rsid w:val="00FF7D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653E394"/>
  <w15:docId w15:val="{693ADCEB-F29C-4394-A1D7-6AD8887C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7628A"/>
    <w:rPr>
      <w:rFonts w:ascii="Tahoma" w:hAnsi="Tahoma" w:cs="Tahoma"/>
    </w:rPr>
  </w:style>
  <w:style w:type="paragraph" w:styleId="Nadpis1">
    <w:name w:val="heading 1"/>
    <w:basedOn w:val="Normln"/>
    <w:next w:val="Normln"/>
    <w:qFormat/>
    <w:rsid w:val="000429CC"/>
    <w:pPr>
      <w:keepNext/>
      <w:numPr>
        <w:numId w:val="1"/>
      </w:numPr>
      <w:spacing w:before="240" w:after="240"/>
      <w:outlineLvl w:val="0"/>
    </w:pPr>
    <w:rPr>
      <w:rFonts w:cs="Arial"/>
      <w:b/>
      <w:bCs/>
      <w:kern w:val="32"/>
      <w:szCs w:val="28"/>
    </w:rPr>
  </w:style>
  <w:style w:type="paragraph" w:styleId="Nadpis2">
    <w:name w:val="heading 2"/>
    <w:basedOn w:val="Normln"/>
    <w:next w:val="Normln"/>
    <w:qFormat/>
    <w:rsid w:val="001740BC"/>
    <w:pPr>
      <w:keepNext/>
      <w:spacing w:before="120" w:after="120"/>
      <w:outlineLvl w:val="1"/>
    </w:pPr>
    <w:rPr>
      <w:rFonts w:cs="Arial"/>
      <w:b/>
      <w:bCs/>
      <w:iCs/>
      <w:color w:val="595959" w:themeColor="text1" w:themeTint="A6"/>
    </w:rPr>
  </w:style>
  <w:style w:type="paragraph" w:styleId="Nadpis3">
    <w:name w:val="heading 3"/>
    <w:basedOn w:val="Normln"/>
    <w:next w:val="Normln"/>
    <w:qFormat/>
    <w:rsid w:val="00553826"/>
    <w:pPr>
      <w:keepNext/>
      <w:spacing w:before="120" w:after="60"/>
      <w:outlineLvl w:val="2"/>
    </w:pPr>
    <w:rPr>
      <w:rFonts w:cs="Arial"/>
      <w:bCs/>
      <w:szCs w:val="18"/>
    </w:rPr>
  </w:style>
  <w:style w:type="paragraph" w:styleId="Nadpis4">
    <w:name w:val="heading 4"/>
    <w:basedOn w:val="Normln"/>
    <w:next w:val="Normln"/>
    <w:qFormat/>
    <w:rsid w:val="00C01E73"/>
    <w:pPr>
      <w:keepNext/>
      <w:tabs>
        <w:tab w:val="num" w:pos="864"/>
      </w:tabs>
      <w:spacing w:before="240" w:after="60"/>
      <w:ind w:left="864" w:hanging="864"/>
      <w:outlineLvl w:val="3"/>
    </w:pPr>
    <w:rPr>
      <w:rFonts w:ascii="Arial" w:hAnsi="Arial"/>
      <w:b/>
    </w:rPr>
  </w:style>
  <w:style w:type="paragraph" w:styleId="Nadpis5">
    <w:name w:val="heading 5"/>
    <w:basedOn w:val="Normln"/>
    <w:next w:val="Normln"/>
    <w:qFormat/>
    <w:rsid w:val="00C01E73"/>
    <w:pPr>
      <w:tabs>
        <w:tab w:val="num" w:pos="1008"/>
      </w:tabs>
      <w:spacing w:before="240" w:after="60"/>
      <w:ind w:left="1008" w:hanging="1008"/>
      <w:outlineLvl w:val="4"/>
    </w:pPr>
    <w:rPr>
      <w:sz w:val="22"/>
    </w:rPr>
  </w:style>
  <w:style w:type="paragraph" w:styleId="Nadpis6">
    <w:name w:val="heading 6"/>
    <w:basedOn w:val="Normln"/>
    <w:next w:val="Normln"/>
    <w:qFormat/>
    <w:rsid w:val="00C01E73"/>
    <w:pPr>
      <w:tabs>
        <w:tab w:val="num" w:pos="1152"/>
      </w:tabs>
      <w:spacing w:before="240" w:after="60"/>
      <w:ind w:left="1152" w:hanging="1152"/>
      <w:outlineLvl w:val="5"/>
    </w:pPr>
    <w:rPr>
      <w:i/>
      <w:sz w:val="22"/>
    </w:rPr>
  </w:style>
  <w:style w:type="paragraph" w:styleId="Nadpis7">
    <w:name w:val="heading 7"/>
    <w:basedOn w:val="Normln"/>
    <w:next w:val="Normln"/>
    <w:qFormat/>
    <w:rsid w:val="00C01E73"/>
    <w:pPr>
      <w:tabs>
        <w:tab w:val="num" w:pos="1296"/>
      </w:tabs>
      <w:spacing w:before="240" w:after="60"/>
      <w:ind w:left="1296" w:hanging="1296"/>
      <w:outlineLvl w:val="6"/>
    </w:pPr>
    <w:rPr>
      <w:rFonts w:ascii="Arial" w:hAnsi="Arial"/>
    </w:rPr>
  </w:style>
  <w:style w:type="paragraph" w:styleId="Nadpis8">
    <w:name w:val="heading 8"/>
    <w:basedOn w:val="Normln"/>
    <w:next w:val="Normln"/>
    <w:qFormat/>
    <w:rsid w:val="00C01E73"/>
    <w:pPr>
      <w:tabs>
        <w:tab w:val="num" w:pos="1440"/>
      </w:tabs>
      <w:spacing w:before="240" w:after="60"/>
      <w:ind w:left="1440" w:hanging="1440"/>
      <w:outlineLvl w:val="7"/>
    </w:pPr>
    <w:rPr>
      <w:rFonts w:ascii="Arial" w:hAnsi="Arial"/>
      <w:i/>
    </w:rPr>
  </w:style>
  <w:style w:type="paragraph" w:styleId="Nadpis9">
    <w:name w:val="heading 9"/>
    <w:basedOn w:val="Normln"/>
    <w:next w:val="Normln"/>
    <w:qFormat/>
    <w:rsid w:val="00C01E73"/>
    <w:pPr>
      <w:tabs>
        <w:tab w:val="num" w:pos="1584"/>
      </w:tabs>
      <w:spacing w:before="240" w:after="60"/>
      <w:ind w:left="1584" w:hanging="1584"/>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basedOn w:val="Normln"/>
    <w:rsid w:val="00F17835"/>
    <w:pPr>
      <w:widowControl w:val="0"/>
      <w:autoSpaceDE w:val="0"/>
      <w:autoSpaceDN w:val="0"/>
    </w:pPr>
    <w:rPr>
      <w:rFonts w:ascii="Arial" w:hAnsi="Arial" w:cs="Arial"/>
      <w:color w:val="000000"/>
    </w:rPr>
  </w:style>
  <w:style w:type="paragraph" w:customStyle="1" w:styleId="Zkladntext1">
    <w:name w:val="Základní text1"/>
    <w:basedOn w:val="Normln1"/>
    <w:rsid w:val="00F17835"/>
    <w:pPr>
      <w:spacing w:line="235" w:lineRule="auto"/>
    </w:pPr>
    <w:rPr>
      <w:rFonts w:ascii="Times New Roman" w:hAnsi="Times New Roman" w:cs="Times New Roman"/>
      <w:noProof/>
      <w:color w:val="auto"/>
      <w:sz w:val="24"/>
      <w:szCs w:val="24"/>
      <w:lang w:val="en-US"/>
    </w:rPr>
  </w:style>
  <w:style w:type="paragraph" w:styleId="Obsah2">
    <w:name w:val="toc 2"/>
    <w:basedOn w:val="Normln"/>
    <w:next w:val="Normln"/>
    <w:autoRedefine/>
    <w:uiPriority w:val="39"/>
    <w:qFormat/>
    <w:rsid w:val="00E81210"/>
    <w:rPr>
      <w:rFonts w:asciiTheme="minorHAnsi" w:hAnsiTheme="minorHAnsi"/>
      <w:b/>
      <w:bCs/>
      <w:smallCaps/>
      <w:sz w:val="22"/>
      <w:szCs w:val="22"/>
    </w:rPr>
  </w:style>
  <w:style w:type="paragraph" w:styleId="Zkladntextodsazen2">
    <w:name w:val="Body Text Indent 2"/>
    <w:basedOn w:val="Normln"/>
    <w:rsid w:val="00A05967"/>
    <w:pPr>
      <w:autoSpaceDE w:val="0"/>
      <w:autoSpaceDN w:val="0"/>
      <w:ind w:left="1440"/>
    </w:pPr>
    <w:rPr>
      <w:rFonts w:ascii="Arial" w:hAnsi="Arial" w:cs="Arial"/>
    </w:rPr>
  </w:style>
  <w:style w:type="paragraph" w:styleId="Zkladntextodsazen">
    <w:name w:val="Body Text Indent"/>
    <w:basedOn w:val="Normln"/>
    <w:rsid w:val="00A94ABB"/>
    <w:pPr>
      <w:spacing w:after="120"/>
      <w:ind w:left="283"/>
    </w:pPr>
  </w:style>
  <w:style w:type="paragraph" w:styleId="Zhlav">
    <w:name w:val="header"/>
    <w:basedOn w:val="Normln1"/>
    <w:rsid w:val="00A94ABB"/>
    <w:pPr>
      <w:tabs>
        <w:tab w:val="center" w:pos="4536"/>
        <w:tab w:val="right" w:pos="7847"/>
      </w:tabs>
    </w:pPr>
  </w:style>
  <w:style w:type="paragraph" w:customStyle="1" w:styleId="Stnovannadpis">
    <w:name w:val="Stínovaný nadpis"/>
    <w:basedOn w:val="Normln"/>
    <w:next w:val="Normln"/>
    <w:rsid w:val="00A94ABB"/>
    <w:pPr>
      <w:widowControl w:val="0"/>
      <w:shd w:val="solid" w:color="000000" w:fill="auto"/>
      <w:autoSpaceDE w:val="0"/>
      <w:autoSpaceDN w:val="0"/>
      <w:jc w:val="center"/>
    </w:pPr>
    <w:rPr>
      <w:rFonts w:cs="Arial"/>
      <w:b/>
      <w:bCs/>
      <w:noProof/>
      <w:color w:val="FFFFFF"/>
      <w:sz w:val="36"/>
      <w:szCs w:val="36"/>
      <w:lang w:val="en-US"/>
    </w:rPr>
  </w:style>
  <w:style w:type="paragraph" w:styleId="Zkladntext">
    <w:name w:val="Body Text"/>
    <w:basedOn w:val="Normln"/>
    <w:rsid w:val="00D972D8"/>
    <w:pPr>
      <w:spacing w:after="120"/>
    </w:pPr>
  </w:style>
  <w:style w:type="paragraph" w:styleId="Zkladntextodsazen3">
    <w:name w:val="Body Text Indent 3"/>
    <w:basedOn w:val="Normln"/>
    <w:rsid w:val="00A625D6"/>
    <w:pPr>
      <w:spacing w:after="120"/>
      <w:ind w:left="283"/>
    </w:pPr>
    <w:rPr>
      <w:sz w:val="16"/>
      <w:szCs w:val="16"/>
    </w:rPr>
  </w:style>
  <w:style w:type="paragraph" w:customStyle="1" w:styleId="Seznamoslovan">
    <w:name w:val="Seznam očíslovaný"/>
    <w:basedOn w:val="Zkladntext"/>
    <w:rsid w:val="00A625D6"/>
    <w:pPr>
      <w:widowControl w:val="0"/>
      <w:autoSpaceDE w:val="0"/>
      <w:autoSpaceDN w:val="0"/>
      <w:spacing w:after="100"/>
      <w:ind w:left="480" w:hanging="480"/>
      <w:jc w:val="both"/>
    </w:pPr>
    <w:rPr>
      <w:rFonts w:cs="Arial"/>
      <w:noProof/>
      <w:lang w:val="en-US"/>
    </w:rPr>
  </w:style>
  <w:style w:type="paragraph" w:customStyle="1" w:styleId="StylZkladntextodsazen2TahomaVlevo0cm">
    <w:name w:val="Styl Základní text odsazený 2 + Tahoma Vlevo:  0 cm"/>
    <w:basedOn w:val="Zkladntextodsazen2"/>
    <w:rsid w:val="006637D1"/>
    <w:pPr>
      <w:ind w:left="0"/>
    </w:pPr>
    <w:rPr>
      <w:rFonts w:ascii="Tahoma" w:hAnsi="Tahoma" w:cs="Times New Roman"/>
    </w:rPr>
  </w:style>
  <w:style w:type="paragraph" w:styleId="Obsah1">
    <w:name w:val="toc 1"/>
    <w:basedOn w:val="Normln"/>
    <w:next w:val="Normln"/>
    <w:autoRedefine/>
    <w:uiPriority w:val="39"/>
    <w:qFormat/>
    <w:rsid w:val="009D78E3"/>
    <w:pPr>
      <w:tabs>
        <w:tab w:val="left" w:pos="387"/>
        <w:tab w:val="right" w:leader="dot" w:pos="9061"/>
      </w:tabs>
    </w:pPr>
    <w:rPr>
      <w:rFonts w:asciiTheme="minorHAnsi" w:hAnsiTheme="minorHAnsi"/>
      <w:bCs/>
      <w:szCs w:val="22"/>
    </w:rPr>
  </w:style>
  <w:style w:type="paragraph" w:styleId="Obsah3">
    <w:name w:val="toc 3"/>
    <w:basedOn w:val="Normln"/>
    <w:next w:val="Normln"/>
    <w:autoRedefine/>
    <w:uiPriority w:val="39"/>
    <w:qFormat/>
    <w:rsid w:val="00F6440A"/>
    <w:rPr>
      <w:rFonts w:asciiTheme="minorHAnsi" w:hAnsiTheme="minorHAnsi"/>
      <w:smallCaps/>
      <w:sz w:val="22"/>
      <w:szCs w:val="22"/>
    </w:rPr>
  </w:style>
  <w:style w:type="character" w:styleId="Hypertextovodkaz">
    <w:name w:val="Hyperlink"/>
    <w:basedOn w:val="Standardnpsmoodstavce"/>
    <w:uiPriority w:val="99"/>
    <w:rsid w:val="007B2108"/>
    <w:rPr>
      <w:color w:val="0000FF"/>
      <w:u w:val="single"/>
    </w:rPr>
  </w:style>
  <w:style w:type="paragraph" w:styleId="Obsah4">
    <w:name w:val="toc 4"/>
    <w:basedOn w:val="Normln"/>
    <w:next w:val="Normln"/>
    <w:autoRedefine/>
    <w:semiHidden/>
    <w:rsid w:val="00B21AE3"/>
    <w:rPr>
      <w:rFonts w:asciiTheme="minorHAnsi" w:hAnsiTheme="minorHAnsi"/>
      <w:sz w:val="22"/>
      <w:szCs w:val="22"/>
    </w:rPr>
  </w:style>
  <w:style w:type="paragraph" w:styleId="Obsah5">
    <w:name w:val="toc 5"/>
    <w:basedOn w:val="Normln"/>
    <w:next w:val="Normln"/>
    <w:autoRedefine/>
    <w:semiHidden/>
    <w:rsid w:val="00B21AE3"/>
    <w:rPr>
      <w:rFonts w:asciiTheme="minorHAnsi" w:hAnsiTheme="minorHAnsi"/>
      <w:sz w:val="22"/>
      <w:szCs w:val="22"/>
    </w:rPr>
  </w:style>
  <w:style w:type="paragraph" w:styleId="Obsah6">
    <w:name w:val="toc 6"/>
    <w:basedOn w:val="Normln"/>
    <w:next w:val="Normln"/>
    <w:autoRedefine/>
    <w:semiHidden/>
    <w:rsid w:val="00B21AE3"/>
    <w:rPr>
      <w:rFonts w:asciiTheme="minorHAnsi" w:hAnsiTheme="minorHAnsi"/>
      <w:sz w:val="22"/>
      <w:szCs w:val="22"/>
    </w:rPr>
  </w:style>
  <w:style w:type="paragraph" w:styleId="Obsah7">
    <w:name w:val="toc 7"/>
    <w:basedOn w:val="Normln"/>
    <w:next w:val="Normln"/>
    <w:autoRedefine/>
    <w:semiHidden/>
    <w:rsid w:val="00B21AE3"/>
    <w:rPr>
      <w:rFonts w:asciiTheme="minorHAnsi" w:hAnsiTheme="minorHAnsi"/>
      <w:sz w:val="22"/>
      <w:szCs w:val="22"/>
    </w:rPr>
  </w:style>
  <w:style w:type="paragraph" w:styleId="Obsah8">
    <w:name w:val="toc 8"/>
    <w:basedOn w:val="Normln"/>
    <w:next w:val="Normln"/>
    <w:autoRedefine/>
    <w:semiHidden/>
    <w:rsid w:val="00B21AE3"/>
    <w:rPr>
      <w:rFonts w:asciiTheme="minorHAnsi" w:hAnsiTheme="minorHAnsi"/>
      <w:sz w:val="22"/>
      <w:szCs w:val="22"/>
    </w:rPr>
  </w:style>
  <w:style w:type="paragraph" w:styleId="Obsah9">
    <w:name w:val="toc 9"/>
    <w:basedOn w:val="Normln"/>
    <w:next w:val="Normln"/>
    <w:autoRedefine/>
    <w:semiHidden/>
    <w:rsid w:val="00B21AE3"/>
    <w:rPr>
      <w:rFonts w:asciiTheme="minorHAnsi" w:hAnsiTheme="minorHAnsi"/>
      <w:sz w:val="22"/>
      <w:szCs w:val="22"/>
    </w:rPr>
  </w:style>
  <w:style w:type="paragraph" w:styleId="Zpat">
    <w:name w:val="footer"/>
    <w:basedOn w:val="Normln"/>
    <w:link w:val="ZpatChar"/>
    <w:uiPriority w:val="99"/>
    <w:rsid w:val="003760D9"/>
    <w:pPr>
      <w:tabs>
        <w:tab w:val="center" w:pos="4536"/>
        <w:tab w:val="right" w:pos="9072"/>
      </w:tabs>
    </w:pPr>
  </w:style>
  <w:style w:type="paragraph" w:styleId="Rozloendokumentu">
    <w:name w:val="Document Map"/>
    <w:basedOn w:val="Normln"/>
    <w:semiHidden/>
    <w:rsid w:val="00F840AD"/>
    <w:pPr>
      <w:shd w:val="clear" w:color="auto" w:fill="000080"/>
    </w:pPr>
  </w:style>
  <w:style w:type="paragraph" w:styleId="Zkladntext2">
    <w:name w:val="Body Text 2"/>
    <w:basedOn w:val="Normln"/>
    <w:rsid w:val="00C01E73"/>
    <w:pPr>
      <w:spacing w:after="120" w:line="480" w:lineRule="auto"/>
    </w:pPr>
  </w:style>
  <w:style w:type="paragraph" w:customStyle="1" w:styleId="Import3">
    <w:name w:val="Import 3"/>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sz w:val="24"/>
      <w:szCs w:val="24"/>
      <w:lang w:val="en-US"/>
    </w:rPr>
  </w:style>
  <w:style w:type="paragraph" w:customStyle="1" w:styleId="Import2">
    <w:name w:val="Import 2"/>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b/>
      <w:bCs/>
      <w:sz w:val="24"/>
      <w:szCs w:val="24"/>
      <w:lang w:val="en-US"/>
    </w:rPr>
  </w:style>
  <w:style w:type="paragraph" w:customStyle="1" w:styleId="normalodsazene">
    <w:name w:val="normalodsazene"/>
    <w:basedOn w:val="Normln"/>
    <w:rsid w:val="00711542"/>
    <w:pPr>
      <w:overflowPunct w:val="0"/>
      <w:autoSpaceDE w:val="0"/>
      <w:autoSpaceDN w:val="0"/>
      <w:adjustRightInd w:val="0"/>
      <w:spacing w:before="100" w:after="100"/>
      <w:textAlignment w:val="baseline"/>
    </w:pPr>
  </w:style>
  <w:style w:type="paragraph" w:styleId="Normlnweb">
    <w:name w:val="Normal (Web)"/>
    <w:basedOn w:val="Normln"/>
    <w:rsid w:val="00EA7BC8"/>
    <w:pPr>
      <w:spacing w:before="100" w:beforeAutospacing="1" w:after="100" w:afterAutospacing="1"/>
    </w:pPr>
    <w:rPr>
      <w:rFonts w:ascii="Times New Roman" w:hAnsi="Times New Roman" w:cs="Times New Roman"/>
      <w:sz w:val="24"/>
      <w:szCs w:val="24"/>
    </w:rPr>
  </w:style>
  <w:style w:type="character" w:styleId="Siln">
    <w:name w:val="Strong"/>
    <w:basedOn w:val="Standardnpsmoodstavce"/>
    <w:qFormat/>
    <w:rsid w:val="00EA7BC8"/>
    <w:rPr>
      <w:b/>
      <w:bCs/>
    </w:rPr>
  </w:style>
  <w:style w:type="paragraph" w:styleId="Textvbloku">
    <w:name w:val="Block Text"/>
    <w:basedOn w:val="Normln"/>
    <w:rsid w:val="00D231D8"/>
    <w:pPr>
      <w:ind w:left="1560" w:right="566"/>
      <w:jc w:val="both"/>
    </w:pPr>
    <w:rPr>
      <w:rFonts w:ascii="Arial" w:hAnsi="Arial" w:cs="Times New Roman"/>
      <w:sz w:val="18"/>
    </w:rPr>
  </w:style>
  <w:style w:type="character" w:styleId="slostrnky">
    <w:name w:val="page number"/>
    <w:basedOn w:val="Standardnpsmoodstavce"/>
    <w:rsid w:val="004D7E11"/>
  </w:style>
  <w:style w:type="table" w:styleId="Mkatabulky">
    <w:name w:val="Table Grid"/>
    <w:basedOn w:val="Normlntabulka"/>
    <w:rsid w:val="00562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E773C"/>
    <w:rPr>
      <w:sz w:val="16"/>
      <w:szCs w:val="16"/>
    </w:rPr>
  </w:style>
  <w:style w:type="character" w:customStyle="1" w:styleId="TextbublinyChar">
    <w:name w:val="Text bubliny Char"/>
    <w:basedOn w:val="Standardnpsmoodstavce"/>
    <w:link w:val="Textbubliny"/>
    <w:rsid w:val="00EE773C"/>
    <w:rPr>
      <w:rFonts w:ascii="Tahoma" w:hAnsi="Tahoma" w:cs="Tahoma"/>
      <w:sz w:val="16"/>
      <w:szCs w:val="16"/>
    </w:rPr>
  </w:style>
  <w:style w:type="character" w:styleId="Sledovanodkaz">
    <w:name w:val="FollowedHyperlink"/>
    <w:basedOn w:val="Standardnpsmoodstavce"/>
    <w:rsid w:val="00F6440A"/>
    <w:rPr>
      <w:color w:val="800080"/>
      <w:u w:val="single"/>
    </w:rPr>
  </w:style>
  <w:style w:type="paragraph" w:styleId="Odstavecseseznamem">
    <w:name w:val="List Paragraph"/>
    <w:basedOn w:val="Normln"/>
    <w:uiPriority w:val="34"/>
    <w:qFormat/>
    <w:rsid w:val="00853FD5"/>
    <w:pPr>
      <w:ind w:left="708"/>
    </w:pPr>
  </w:style>
  <w:style w:type="paragraph" w:styleId="Nadpisobsahu">
    <w:name w:val="TOC Heading"/>
    <w:basedOn w:val="Nadpis1"/>
    <w:next w:val="Normln"/>
    <w:uiPriority w:val="39"/>
    <w:unhideWhenUsed/>
    <w:qFormat/>
    <w:rsid w:val="00965FBD"/>
    <w:pPr>
      <w:keepLines/>
      <w:numPr>
        <w:numId w:val="0"/>
      </w:numPr>
      <w:spacing w:before="480" w:after="0" w:line="276" w:lineRule="auto"/>
      <w:outlineLvl w:val="9"/>
    </w:pPr>
    <w:rPr>
      <w:rFonts w:ascii="Cambria" w:hAnsi="Cambria" w:cs="Times New Roman"/>
      <w:color w:val="365F91"/>
      <w:kern w:val="0"/>
      <w:lang w:eastAsia="en-US"/>
    </w:rPr>
  </w:style>
  <w:style w:type="character" w:customStyle="1" w:styleId="ZpatChar">
    <w:name w:val="Zápatí Char"/>
    <w:basedOn w:val="Standardnpsmoodstavce"/>
    <w:link w:val="Zpat"/>
    <w:uiPriority w:val="99"/>
    <w:rsid w:val="00C775C6"/>
    <w:rPr>
      <w:rFonts w:ascii="Tahoma" w:hAnsi="Tahoma" w:cs="Tahoma"/>
    </w:rPr>
  </w:style>
  <w:style w:type="paragraph" w:styleId="z-Zatekformule">
    <w:name w:val="HTML Top of Form"/>
    <w:basedOn w:val="Normln"/>
    <w:next w:val="Normln"/>
    <w:link w:val="z-ZatekformuleChar"/>
    <w:hidden/>
    <w:uiPriority w:val="99"/>
    <w:unhideWhenUsed/>
    <w:rsid w:val="006113D3"/>
    <w:pPr>
      <w:pBdr>
        <w:bottom w:val="single" w:sz="6" w:space="1" w:color="auto"/>
      </w:pBdr>
      <w:jc w:val="center"/>
    </w:pPr>
    <w:rPr>
      <w:rFonts w:ascii="Arial" w:hAnsi="Arial" w:cs="Arial"/>
      <w:vanish/>
      <w:sz w:val="16"/>
      <w:szCs w:val="16"/>
    </w:rPr>
  </w:style>
  <w:style w:type="character" w:customStyle="1" w:styleId="z-ZatekformuleChar">
    <w:name w:val="z-Začátek formuláře Char"/>
    <w:basedOn w:val="Standardnpsmoodstavce"/>
    <w:link w:val="z-Zatekformule"/>
    <w:uiPriority w:val="99"/>
    <w:rsid w:val="006113D3"/>
    <w:rPr>
      <w:rFonts w:ascii="Arial" w:hAnsi="Arial" w:cs="Arial"/>
      <w:vanish/>
      <w:sz w:val="16"/>
      <w:szCs w:val="16"/>
    </w:rPr>
  </w:style>
  <w:style w:type="paragraph" w:styleId="z-Konecformule">
    <w:name w:val="HTML Bottom of Form"/>
    <w:basedOn w:val="Normln"/>
    <w:next w:val="Normln"/>
    <w:link w:val="z-KonecformuleChar"/>
    <w:hidden/>
    <w:uiPriority w:val="99"/>
    <w:unhideWhenUsed/>
    <w:rsid w:val="006113D3"/>
    <w:pPr>
      <w:pBdr>
        <w:top w:val="single" w:sz="6" w:space="1" w:color="auto"/>
      </w:pBdr>
      <w:jc w:val="center"/>
    </w:pPr>
    <w:rPr>
      <w:rFonts w:ascii="Arial" w:hAnsi="Arial" w:cs="Arial"/>
      <w:vanish/>
      <w:sz w:val="16"/>
      <w:szCs w:val="16"/>
    </w:rPr>
  </w:style>
  <w:style w:type="character" w:customStyle="1" w:styleId="z-KonecformuleChar">
    <w:name w:val="z-Konec formuláře Char"/>
    <w:basedOn w:val="Standardnpsmoodstavce"/>
    <w:link w:val="z-Konecformule"/>
    <w:uiPriority w:val="99"/>
    <w:rsid w:val="006113D3"/>
    <w:rPr>
      <w:rFonts w:ascii="Arial" w:hAnsi="Arial" w:cs="Arial"/>
      <w:vanish/>
      <w:sz w:val="16"/>
      <w:szCs w:val="16"/>
    </w:rPr>
  </w:style>
  <w:style w:type="paragraph" w:customStyle="1" w:styleId="cc">
    <w:name w:val="cc"/>
    <w:basedOn w:val="Normln"/>
    <w:rsid w:val="00897427"/>
    <w:pPr>
      <w:spacing w:before="100" w:beforeAutospacing="1" w:after="100" w:afterAutospacing="1"/>
    </w:pPr>
    <w:rPr>
      <w:rFonts w:ascii="Times New Roman" w:hAnsi="Times New Roman" w:cs="Times New Roman"/>
      <w:sz w:val="24"/>
      <w:szCs w:val="24"/>
    </w:rPr>
  </w:style>
  <w:style w:type="paragraph" w:customStyle="1" w:styleId="NormlnIMP">
    <w:name w:val="Normální_IMP"/>
    <w:basedOn w:val="Normln"/>
    <w:rsid w:val="00AA7230"/>
    <w:p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s>
      <w:suppressAutoHyphens/>
      <w:spacing w:line="276"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2099">
      <w:bodyDiv w:val="1"/>
      <w:marLeft w:val="0"/>
      <w:marRight w:val="0"/>
      <w:marTop w:val="0"/>
      <w:marBottom w:val="0"/>
      <w:divBdr>
        <w:top w:val="none" w:sz="0" w:space="0" w:color="auto"/>
        <w:left w:val="none" w:sz="0" w:space="0" w:color="auto"/>
        <w:bottom w:val="none" w:sz="0" w:space="0" w:color="auto"/>
        <w:right w:val="none" w:sz="0" w:space="0" w:color="auto"/>
      </w:divBdr>
    </w:div>
    <w:div w:id="41054638">
      <w:bodyDiv w:val="1"/>
      <w:marLeft w:val="0"/>
      <w:marRight w:val="0"/>
      <w:marTop w:val="0"/>
      <w:marBottom w:val="0"/>
      <w:divBdr>
        <w:top w:val="none" w:sz="0" w:space="0" w:color="auto"/>
        <w:left w:val="none" w:sz="0" w:space="0" w:color="auto"/>
        <w:bottom w:val="none" w:sz="0" w:space="0" w:color="auto"/>
        <w:right w:val="none" w:sz="0" w:space="0" w:color="auto"/>
      </w:divBdr>
    </w:div>
    <w:div w:id="147940661">
      <w:bodyDiv w:val="1"/>
      <w:marLeft w:val="0"/>
      <w:marRight w:val="0"/>
      <w:marTop w:val="0"/>
      <w:marBottom w:val="0"/>
      <w:divBdr>
        <w:top w:val="none" w:sz="0" w:space="0" w:color="auto"/>
        <w:left w:val="none" w:sz="0" w:space="0" w:color="auto"/>
        <w:bottom w:val="none" w:sz="0" w:space="0" w:color="auto"/>
        <w:right w:val="none" w:sz="0" w:space="0" w:color="auto"/>
      </w:divBdr>
    </w:div>
    <w:div w:id="148912468">
      <w:bodyDiv w:val="1"/>
      <w:marLeft w:val="0"/>
      <w:marRight w:val="0"/>
      <w:marTop w:val="0"/>
      <w:marBottom w:val="0"/>
      <w:divBdr>
        <w:top w:val="none" w:sz="0" w:space="0" w:color="auto"/>
        <w:left w:val="none" w:sz="0" w:space="0" w:color="auto"/>
        <w:bottom w:val="none" w:sz="0" w:space="0" w:color="auto"/>
        <w:right w:val="none" w:sz="0" w:space="0" w:color="auto"/>
      </w:divBdr>
    </w:div>
    <w:div w:id="180514700">
      <w:bodyDiv w:val="1"/>
      <w:marLeft w:val="0"/>
      <w:marRight w:val="0"/>
      <w:marTop w:val="0"/>
      <w:marBottom w:val="0"/>
      <w:divBdr>
        <w:top w:val="none" w:sz="0" w:space="0" w:color="auto"/>
        <w:left w:val="none" w:sz="0" w:space="0" w:color="auto"/>
        <w:bottom w:val="none" w:sz="0" w:space="0" w:color="auto"/>
        <w:right w:val="none" w:sz="0" w:space="0" w:color="auto"/>
      </w:divBdr>
    </w:div>
    <w:div w:id="199248821">
      <w:bodyDiv w:val="1"/>
      <w:marLeft w:val="0"/>
      <w:marRight w:val="0"/>
      <w:marTop w:val="0"/>
      <w:marBottom w:val="0"/>
      <w:divBdr>
        <w:top w:val="none" w:sz="0" w:space="0" w:color="auto"/>
        <w:left w:val="none" w:sz="0" w:space="0" w:color="auto"/>
        <w:bottom w:val="none" w:sz="0" w:space="0" w:color="auto"/>
        <w:right w:val="none" w:sz="0" w:space="0" w:color="auto"/>
      </w:divBdr>
    </w:div>
    <w:div w:id="246615458">
      <w:bodyDiv w:val="1"/>
      <w:marLeft w:val="0"/>
      <w:marRight w:val="0"/>
      <w:marTop w:val="0"/>
      <w:marBottom w:val="0"/>
      <w:divBdr>
        <w:top w:val="none" w:sz="0" w:space="0" w:color="auto"/>
        <w:left w:val="none" w:sz="0" w:space="0" w:color="auto"/>
        <w:bottom w:val="none" w:sz="0" w:space="0" w:color="auto"/>
        <w:right w:val="none" w:sz="0" w:space="0" w:color="auto"/>
      </w:divBdr>
    </w:div>
    <w:div w:id="265581086">
      <w:bodyDiv w:val="1"/>
      <w:marLeft w:val="0"/>
      <w:marRight w:val="0"/>
      <w:marTop w:val="0"/>
      <w:marBottom w:val="0"/>
      <w:divBdr>
        <w:top w:val="none" w:sz="0" w:space="0" w:color="auto"/>
        <w:left w:val="none" w:sz="0" w:space="0" w:color="auto"/>
        <w:bottom w:val="none" w:sz="0" w:space="0" w:color="auto"/>
        <w:right w:val="none" w:sz="0" w:space="0" w:color="auto"/>
      </w:divBdr>
      <w:divsChild>
        <w:div w:id="1070927021">
          <w:marLeft w:val="0"/>
          <w:marRight w:val="0"/>
          <w:marTop w:val="0"/>
          <w:marBottom w:val="0"/>
          <w:divBdr>
            <w:top w:val="none" w:sz="0" w:space="0" w:color="auto"/>
            <w:left w:val="none" w:sz="0" w:space="0" w:color="auto"/>
            <w:bottom w:val="none" w:sz="0" w:space="0" w:color="auto"/>
            <w:right w:val="none" w:sz="0" w:space="0" w:color="auto"/>
          </w:divBdr>
        </w:div>
      </w:divsChild>
    </w:div>
    <w:div w:id="318771422">
      <w:bodyDiv w:val="1"/>
      <w:marLeft w:val="0"/>
      <w:marRight w:val="0"/>
      <w:marTop w:val="0"/>
      <w:marBottom w:val="0"/>
      <w:divBdr>
        <w:top w:val="none" w:sz="0" w:space="0" w:color="auto"/>
        <w:left w:val="none" w:sz="0" w:space="0" w:color="auto"/>
        <w:bottom w:val="none" w:sz="0" w:space="0" w:color="auto"/>
        <w:right w:val="none" w:sz="0" w:space="0" w:color="auto"/>
      </w:divBdr>
    </w:div>
    <w:div w:id="344291578">
      <w:bodyDiv w:val="1"/>
      <w:marLeft w:val="0"/>
      <w:marRight w:val="0"/>
      <w:marTop w:val="0"/>
      <w:marBottom w:val="0"/>
      <w:divBdr>
        <w:top w:val="none" w:sz="0" w:space="0" w:color="auto"/>
        <w:left w:val="none" w:sz="0" w:space="0" w:color="auto"/>
        <w:bottom w:val="none" w:sz="0" w:space="0" w:color="auto"/>
        <w:right w:val="none" w:sz="0" w:space="0" w:color="auto"/>
      </w:divBdr>
    </w:div>
    <w:div w:id="353195126">
      <w:bodyDiv w:val="1"/>
      <w:marLeft w:val="0"/>
      <w:marRight w:val="0"/>
      <w:marTop w:val="0"/>
      <w:marBottom w:val="0"/>
      <w:divBdr>
        <w:top w:val="none" w:sz="0" w:space="0" w:color="auto"/>
        <w:left w:val="none" w:sz="0" w:space="0" w:color="auto"/>
        <w:bottom w:val="none" w:sz="0" w:space="0" w:color="auto"/>
        <w:right w:val="none" w:sz="0" w:space="0" w:color="auto"/>
      </w:divBdr>
    </w:div>
    <w:div w:id="363487503">
      <w:bodyDiv w:val="1"/>
      <w:marLeft w:val="0"/>
      <w:marRight w:val="0"/>
      <w:marTop w:val="0"/>
      <w:marBottom w:val="0"/>
      <w:divBdr>
        <w:top w:val="none" w:sz="0" w:space="0" w:color="auto"/>
        <w:left w:val="none" w:sz="0" w:space="0" w:color="auto"/>
        <w:bottom w:val="none" w:sz="0" w:space="0" w:color="auto"/>
        <w:right w:val="none" w:sz="0" w:space="0" w:color="auto"/>
      </w:divBdr>
    </w:div>
    <w:div w:id="366874115">
      <w:bodyDiv w:val="1"/>
      <w:marLeft w:val="0"/>
      <w:marRight w:val="0"/>
      <w:marTop w:val="0"/>
      <w:marBottom w:val="0"/>
      <w:divBdr>
        <w:top w:val="none" w:sz="0" w:space="0" w:color="auto"/>
        <w:left w:val="none" w:sz="0" w:space="0" w:color="auto"/>
        <w:bottom w:val="none" w:sz="0" w:space="0" w:color="auto"/>
        <w:right w:val="none" w:sz="0" w:space="0" w:color="auto"/>
      </w:divBdr>
    </w:div>
    <w:div w:id="393550849">
      <w:bodyDiv w:val="1"/>
      <w:marLeft w:val="0"/>
      <w:marRight w:val="0"/>
      <w:marTop w:val="0"/>
      <w:marBottom w:val="0"/>
      <w:divBdr>
        <w:top w:val="none" w:sz="0" w:space="0" w:color="auto"/>
        <w:left w:val="none" w:sz="0" w:space="0" w:color="auto"/>
        <w:bottom w:val="none" w:sz="0" w:space="0" w:color="auto"/>
        <w:right w:val="none" w:sz="0" w:space="0" w:color="auto"/>
      </w:divBdr>
    </w:div>
    <w:div w:id="422336779">
      <w:bodyDiv w:val="1"/>
      <w:marLeft w:val="0"/>
      <w:marRight w:val="0"/>
      <w:marTop w:val="0"/>
      <w:marBottom w:val="0"/>
      <w:divBdr>
        <w:top w:val="none" w:sz="0" w:space="0" w:color="auto"/>
        <w:left w:val="none" w:sz="0" w:space="0" w:color="auto"/>
        <w:bottom w:val="none" w:sz="0" w:space="0" w:color="auto"/>
        <w:right w:val="none" w:sz="0" w:space="0" w:color="auto"/>
      </w:divBdr>
    </w:div>
    <w:div w:id="767967317">
      <w:bodyDiv w:val="1"/>
      <w:marLeft w:val="0"/>
      <w:marRight w:val="0"/>
      <w:marTop w:val="0"/>
      <w:marBottom w:val="0"/>
      <w:divBdr>
        <w:top w:val="none" w:sz="0" w:space="0" w:color="auto"/>
        <w:left w:val="none" w:sz="0" w:space="0" w:color="auto"/>
        <w:bottom w:val="none" w:sz="0" w:space="0" w:color="auto"/>
        <w:right w:val="none" w:sz="0" w:space="0" w:color="auto"/>
      </w:divBdr>
    </w:div>
    <w:div w:id="789779989">
      <w:bodyDiv w:val="1"/>
      <w:marLeft w:val="0"/>
      <w:marRight w:val="0"/>
      <w:marTop w:val="0"/>
      <w:marBottom w:val="0"/>
      <w:divBdr>
        <w:top w:val="none" w:sz="0" w:space="0" w:color="auto"/>
        <w:left w:val="none" w:sz="0" w:space="0" w:color="auto"/>
        <w:bottom w:val="none" w:sz="0" w:space="0" w:color="auto"/>
        <w:right w:val="none" w:sz="0" w:space="0" w:color="auto"/>
      </w:divBdr>
    </w:div>
    <w:div w:id="791245981">
      <w:bodyDiv w:val="1"/>
      <w:marLeft w:val="0"/>
      <w:marRight w:val="0"/>
      <w:marTop w:val="0"/>
      <w:marBottom w:val="0"/>
      <w:divBdr>
        <w:top w:val="none" w:sz="0" w:space="0" w:color="auto"/>
        <w:left w:val="none" w:sz="0" w:space="0" w:color="auto"/>
        <w:bottom w:val="none" w:sz="0" w:space="0" w:color="auto"/>
        <w:right w:val="none" w:sz="0" w:space="0" w:color="auto"/>
      </w:divBdr>
    </w:div>
    <w:div w:id="840317034">
      <w:bodyDiv w:val="1"/>
      <w:marLeft w:val="0"/>
      <w:marRight w:val="0"/>
      <w:marTop w:val="0"/>
      <w:marBottom w:val="0"/>
      <w:divBdr>
        <w:top w:val="none" w:sz="0" w:space="0" w:color="auto"/>
        <w:left w:val="none" w:sz="0" w:space="0" w:color="auto"/>
        <w:bottom w:val="none" w:sz="0" w:space="0" w:color="auto"/>
        <w:right w:val="none" w:sz="0" w:space="0" w:color="auto"/>
      </w:divBdr>
    </w:div>
    <w:div w:id="883058379">
      <w:bodyDiv w:val="1"/>
      <w:marLeft w:val="0"/>
      <w:marRight w:val="0"/>
      <w:marTop w:val="0"/>
      <w:marBottom w:val="0"/>
      <w:divBdr>
        <w:top w:val="none" w:sz="0" w:space="0" w:color="auto"/>
        <w:left w:val="none" w:sz="0" w:space="0" w:color="auto"/>
        <w:bottom w:val="none" w:sz="0" w:space="0" w:color="auto"/>
        <w:right w:val="none" w:sz="0" w:space="0" w:color="auto"/>
      </w:divBdr>
    </w:div>
    <w:div w:id="889805204">
      <w:bodyDiv w:val="1"/>
      <w:marLeft w:val="0"/>
      <w:marRight w:val="0"/>
      <w:marTop w:val="0"/>
      <w:marBottom w:val="0"/>
      <w:divBdr>
        <w:top w:val="none" w:sz="0" w:space="0" w:color="auto"/>
        <w:left w:val="none" w:sz="0" w:space="0" w:color="auto"/>
        <w:bottom w:val="none" w:sz="0" w:space="0" w:color="auto"/>
        <w:right w:val="none" w:sz="0" w:space="0" w:color="auto"/>
      </w:divBdr>
    </w:div>
    <w:div w:id="969289935">
      <w:bodyDiv w:val="1"/>
      <w:marLeft w:val="0"/>
      <w:marRight w:val="0"/>
      <w:marTop w:val="0"/>
      <w:marBottom w:val="0"/>
      <w:divBdr>
        <w:top w:val="none" w:sz="0" w:space="0" w:color="auto"/>
        <w:left w:val="none" w:sz="0" w:space="0" w:color="auto"/>
        <w:bottom w:val="none" w:sz="0" w:space="0" w:color="auto"/>
        <w:right w:val="none" w:sz="0" w:space="0" w:color="auto"/>
      </w:divBdr>
    </w:div>
    <w:div w:id="990132361">
      <w:bodyDiv w:val="1"/>
      <w:marLeft w:val="0"/>
      <w:marRight w:val="0"/>
      <w:marTop w:val="0"/>
      <w:marBottom w:val="0"/>
      <w:divBdr>
        <w:top w:val="none" w:sz="0" w:space="0" w:color="auto"/>
        <w:left w:val="none" w:sz="0" w:space="0" w:color="auto"/>
        <w:bottom w:val="none" w:sz="0" w:space="0" w:color="auto"/>
        <w:right w:val="none" w:sz="0" w:space="0" w:color="auto"/>
      </w:divBdr>
    </w:div>
    <w:div w:id="1034385256">
      <w:bodyDiv w:val="1"/>
      <w:marLeft w:val="0"/>
      <w:marRight w:val="0"/>
      <w:marTop w:val="0"/>
      <w:marBottom w:val="0"/>
      <w:divBdr>
        <w:top w:val="none" w:sz="0" w:space="0" w:color="auto"/>
        <w:left w:val="none" w:sz="0" w:space="0" w:color="auto"/>
        <w:bottom w:val="none" w:sz="0" w:space="0" w:color="auto"/>
        <w:right w:val="none" w:sz="0" w:space="0" w:color="auto"/>
      </w:divBdr>
    </w:div>
    <w:div w:id="1034696537">
      <w:bodyDiv w:val="1"/>
      <w:marLeft w:val="0"/>
      <w:marRight w:val="0"/>
      <w:marTop w:val="0"/>
      <w:marBottom w:val="0"/>
      <w:divBdr>
        <w:top w:val="none" w:sz="0" w:space="0" w:color="auto"/>
        <w:left w:val="none" w:sz="0" w:space="0" w:color="auto"/>
        <w:bottom w:val="none" w:sz="0" w:space="0" w:color="auto"/>
        <w:right w:val="none" w:sz="0" w:space="0" w:color="auto"/>
      </w:divBdr>
    </w:div>
    <w:div w:id="1047726017">
      <w:bodyDiv w:val="1"/>
      <w:marLeft w:val="0"/>
      <w:marRight w:val="0"/>
      <w:marTop w:val="0"/>
      <w:marBottom w:val="0"/>
      <w:divBdr>
        <w:top w:val="none" w:sz="0" w:space="0" w:color="auto"/>
        <w:left w:val="none" w:sz="0" w:space="0" w:color="auto"/>
        <w:bottom w:val="none" w:sz="0" w:space="0" w:color="auto"/>
        <w:right w:val="none" w:sz="0" w:space="0" w:color="auto"/>
      </w:divBdr>
    </w:div>
    <w:div w:id="1078091686">
      <w:bodyDiv w:val="1"/>
      <w:marLeft w:val="0"/>
      <w:marRight w:val="0"/>
      <w:marTop w:val="0"/>
      <w:marBottom w:val="0"/>
      <w:divBdr>
        <w:top w:val="none" w:sz="0" w:space="0" w:color="auto"/>
        <w:left w:val="none" w:sz="0" w:space="0" w:color="auto"/>
        <w:bottom w:val="none" w:sz="0" w:space="0" w:color="auto"/>
        <w:right w:val="none" w:sz="0" w:space="0" w:color="auto"/>
      </w:divBdr>
    </w:div>
    <w:div w:id="1082677989">
      <w:bodyDiv w:val="1"/>
      <w:marLeft w:val="0"/>
      <w:marRight w:val="0"/>
      <w:marTop w:val="0"/>
      <w:marBottom w:val="0"/>
      <w:divBdr>
        <w:top w:val="none" w:sz="0" w:space="0" w:color="auto"/>
        <w:left w:val="none" w:sz="0" w:space="0" w:color="auto"/>
        <w:bottom w:val="none" w:sz="0" w:space="0" w:color="auto"/>
        <w:right w:val="none" w:sz="0" w:space="0" w:color="auto"/>
      </w:divBdr>
    </w:div>
    <w:div w:id="1091465157">
      <w:bodyDiv w:val="1"/>
      <w:marLeft w:val="0"/>
      <w:marRight w:val="0"/>
      <w:marTop w:val="0"/>
      <w:marBottom w:val="0"/>
      <w:divBdr>
        <w:top w:val="none" w:sz="0" w:space="0" w:color="auto"/>
        <w:left w:val="none" w:sz="0" w:space="0" w:color="auto"/>
        <w:bottom w:val="none" w:sz="0" w:space="0" w:color="auto"/>
        <w:right w:val="none" w:sz="0" w:space="0" w:color="auto"/>
      </w:divBdr>
    </w:div>
    <w:div w:id="1154762524">
      <w:bodyDiv w:val="1"/>
      <w:marLeft w:val="0"/>
      <w:marRight w:val="0"/>
      <w:marTop w:val="0"/>
      <w:marBottom w:val="0"/>
      <w:divBdr>
        <w:top w:val="none" w:sz="0" w:space="0" w:color="auto"/>
        <w:left w:val="none" w:sz="0" w:space="0" w:color="auto"/>
        <w:bottom w:val="none" w:sz="0" w:space="0" w:color="auto"/>
        <w:right w:val="none" w:sz="0" w:space="0" w:color="auto"/>
      </w:divBdr>
    </w:div>
    <w:div w:id="1178500745">
      <w:bodyDiv w:val="1"/>
      <w:marLeft w:val="0"/>
      <w:marRight w:val="0"/>
      <w:marTop w:val="0"/>
      <w:marBottom w:val="0"/>
      <w:divBdr>
        <w:top w:val="none" w:sz="0" w:space="0" w:color="auto"/>
        <w:left w:val="none" w:sz="0" w:space="0" w:color="auto"/>
        <w:bottom w:val="none" w:sz="0" w:space="0" w:color="auto"/>
        <w:right w:val="none" w:sz="0" w:space="0" w:color="auto"/>
      </w:divBdr>
    </w:div>
    <w:div w:id="1238589282">
      <w:bodyDiv w:val="1"/>
      <w:marLeft w:val="0"/>
      <w:marRight w:val="0"/>
      <w:marTop w:val="0"/>
      <w:marBottom w:val="0"/>
      <w:divBdr>
        <w:top w:val="none" w:sz="0" w:space="0" w:color="auto"/>
        <w:left w:val="none" w:sz="0" w:space="0" w:color="auto"/>
        <w:bottom w:val="none" w:sz="0" w:space="0" w:color="auto"/>
        <w:right w:val="none" w:sz="0" w:space="0" w:color="auto"/>
      </w:divBdr>
    </w:div>
    <w:div w:id="1285774631">
      <w:bodyDiv w:val="1"/>
      <w:marLeft w:val="0"/>
      <w:marRight w:val="0"/>
      <w:marTop w:val="0"/>
      <w:marBottom w:val="0"/>
      <w:divBdr>
        <w:top w:val="none" w:sz="0" w:space="0" w:color="auto"/>
        <w:left w:val="none" w:sz="0" w:space="0" w:color="auto"/>
        <w:bottom w:val="none" w:sz="0" w:space="0" w:color="auto"/>
        <w:right w:val="none" w:sz="0" w:space="0" w:color="auto"/>
      </w:divBdr>
    </w:div>
    <w:div w:id="1482306292">
      <w:bodyDiv w:val="1"/>
      <w:marLeft w:val="0"/>
      <w:marRight w:val="0"/>
      <w:marTop w:val="0"/>
      <w:marBottom w:val="0"/>
      <w:divBdr>
        <w:top w:val="none" w:sz="0" w:space="0" w:color="auto"/>
        <w:left w:val="none" w:sz="0" w:space="0" w:color="auto"/>
        <w:bottom w:val="none" w:sz="0" w:space="0" w:color="auto"/>
        <w:right w:val="none" w:sz="0" w:space="0" w:color="auto"/>
      </w:divBdr>
    </w:div>
    <w:div w:id="1490560730">
      <w:bodyDiv w:val="1"/>
      <w:marLeft w:val="0"/>
      <w:marRight w:val="0"/>
      <w:marTop w:val="0"/>
      <w:marBottom w:val="0"/>
      <w:divBdr>
        <w:top w:val="none" w:sz="0" w:space="0" w:color="auto"/>
        <w:left w:val="none" w:sz="0" w:space="0" w:color="auto"/>
        <w:bottom w:val="none" w:sz="0" w:space="0" w:color="auto"/>
        <w:right w:val="none" w:sz="0" w:space="0" w:color="auto"/>
      </w:divBdr>
    </w:div>
    <w:div w:id="1580823870">
      <w:bodyDiv w:val="1"/>
      <w:marLeft w:val="0"/>
      <w:marRight w:val="0"/>
      <w:marTop w:val="0"/>
      <w:marBottom w:val="0"/>
      <w:divBdr>
        <w:top w:val="none" w:sz="0" w:space="0" w:color="auto"/>
        <w:left w:val="none" w:sz="0" w:space="0" w:color="auto"/>
        <w:bottom w:val="none" w:sz="0" w:space="0" w:color="auto"/>
        <w:right w:val="none" w:sz="0" w:space="0" w:color="auto"/>
      </w:divBdr>
    </w:div>
    <w:div w:id="1645305831">
      <w:bodyDiv w:val="1"/>
      <w:marLeft w:val="0"/>
      <w:marRight w:val="0"/>
      <w:marTop w:val="0"/>
      <w:marBottom w:val="0"/>
      <w:divBdr>
        <w:top w:val="none" w:sz="0" w:space="0" w:color="auto"/>
        <w:left w:val="none" w:sz="0" w:space="0" w:color="auto"/>
        <w:bottom w:val="none" w:sz="0" w:space="0" w:color="auto"/>
        <w:right w:val="none" w:sz="0" w:space="0" w:color="auto"/>
      </w:divBdr>
    </w:div>
    <w:div w:id="1682514917">
      <w:bodyDiv w:val="1"/>
      <w:marLeft w:val="0"/>
      <w:marRight w:val="0"/>
      <w:marTop w:val="0"/>
      <w:marBottom w:val="0"/>
      <w:divBdr>
        <w:top w:val="none" w:sz="0" w:space="0" w:color="auto"/>
        <w:left w:val="none" w:sz="0" w:space="0" w:color="auto"/>
        <w:bottom w:val="none" w:sz="0" w:space="0" w:color="auto"/>
        <w:right w:val="none" w:sz="0" w:space="0" w:color="auto"/>
      </w:divBdr>
    </w:div>
    <w:div w:id="1887451924">
      <w:bodyDiv w:val="1"/>
      <w:marLeft w:val="0"/>
      <w:marRight w:val="0"/>
      <w:marTop w:val="0"/>
      <w:marBottom w:val="0"/>
      <w:divBdr>
        <w:top w:val="none" w:sz="0" w:space="0" w:color="auto"/>
        <w:left w:val="none" w:sz="0" w:space="0" w:color="auto"/>
        <w:bottom w:val="none" w:sz="0" w:space="0" w:color="auto"/>
        <w:right w:val="none" w:sz="0" w:space="0" w:color="auto"/>
      </w:divBdr>
    </w:div>
    <w:div w:id="1960329471">
      <w:bodyDiv w:val="1"/>
      <w:marLeft w:val="0"/>
      <w:marRight w:val="0"/>
      <w:marTop w:val="0"/>
      <w:marBottom w:val="0"/>
      <w:divBdr>
        <w:top w:val="none" w:sz="0" w:space="0" w:color="auto"/>
        <w:left w:val="none" w:sz="0" w:space="0" w:color="auto"/>
        <w:bottom w:val="none" w:sz="0" w:space="0" w:color="auto"/>
        <w:right w:val="none" w:sz="0" w:space="0" w:color="auto"/>
      </w:divBdr>
    </w:div>
    <w:div w:id="1983267731">
      <w:bodyDiv w:val="1"/>
      <w:marLeft w:val="0"/>
      <w:marRight w:val="0"/>
      <w:marTop w:val="0"/>
      <w:marBottom w:val="0"/>
      <w:divBdr>
        <w:top w:val="none" w:sz="0" w:space="0" w:color="auto"/>
        <w:left w:val="none" w:sz="0" w:space="0" w:color="auto"/>
        <w:bottom w:val="none" w:sz="0" w:space="0" w:color="auto"/>
        <w:right w:val="none" w:sz="0" w:space="0" w:color="auto"/>
      </w:divBdr>
    </w:div>
    <w:div w:id="2009794212">
      <w:bodyDiv w:val="1"/>
      <w:marLeft w:val="0"/>
      <w:marRight w:val="0"/>
      <w:marTop w:val="0"/>
      <w:marBottom w:val="0"/>
      <w:divBdr>
        <w:top w:val="none" w:sz="0" w:space="0" w:color="auto"/>
        <w:left w:val="none" w:sz="0" w:space="0" w:color="auto"/>
        <w:bottom w:val="none" w:sz="0" w:space="0" w:color="auto"/>
        <w:right w:val="none" w:sz="0" w:space="0" w:color="auto"/>
      </w:divBdr>
    </w:div>
    <w:div w:id="2042589760">
      <w:bodyDiv w:val="1"/>
      <w:marLeft w:val="0"/>
      <w:marRight w:val="0"/>
      <w:marTop w:val="0"/>
      <w:marBottom w:val="0"/>
      <w:divBdr>
        <w:top w:val="none" w:sz="0" w:space="0" w:color="auto"/>
        <w:left w:val="none" w:sz="0" w:space="0" w:color="auto"/>
        <w:bottom w:val="none" w:sz="0" w:space="0" w:color="auto"/>
        <w:right w:val="none" w:sz="0" w:space="0" w:color="auto"/>
      </w:divBdr>
      <w:divsChild>
        <w:div w:id="1783181256">
          <w:marLeft w:val="0"/>
          <w:marRight w:val="0"/>
          <w:marTop w:val="0"/>
          <w:marBottom w:val="0"/>
          <w:divBdr>
            <w:top w:val="none" w:sz="0" w:space="0" w:color="auto"/>
            <w:left w:val="none" w:sz="0" w:space="0" w:color="auto"/>
            <w:bottom w:val="none" w:sz="0" w:space="0" w:color="auto"/>
            <w:right w:val="none" w:sz="0" w:space="0" w:color="auto"/>
          </w:divBdr>
        </w:div>
      </w:divsChild>
    </w:div>
    <w:div w:id="211127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patelier.cz" TargetMode="External"/><Relationship Id="rId13" Type="http://schemas.openxmlformats.org/officeDocument/2006/relationships/image" Target="media/image4.JP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0EC16-3093-4530-BA8D-5D3523FAE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3510</TotalTime>
  <Pages>13</Pages>
  <Words>3106</Words>
  <Characters>18330</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01</vt:lpstr>
    </vt:vector>
  </TitlesOfParts>
  <Company>4D</Company>
  <LinksUpToDate>false</LinksUpToDate>
  <CharactersWithSpaces>21394</CharactersWithSpaces>
  <SharedDoc>false</SharedDoc>
  <HLinks>
    <vt:vector size="258" baseType="variant">
      <vt:variant>
        <vt:i4>1835061</vt:i4>
      </vt:variant>
      <vt:variant>
        <vt:i4>248</vt:i4>
      </vt:variant>
      <vt:variant>
        <vt:i4>0</vt:i4>
      </vt:variant>
      <vt:variant>
        <vt:i4>5</vt:i4>
      </vt:variant>
      <vt:variant>
        <vt:lpwstr/>
      </vt:variant>
      <vt:variant>
        <vt:lpwstr>_Toc212261399</vt:lpwstr>
      </vt:variant>
      <vt:variant>
        <vt:i4>1835061</vt:i4>
      </vt:variant>
      <vt:variant>
        <vt:i4>242</vt:i4>
      </vt:variant>
      <vt:variant>
        <vt:i4>0</vt:i4>
      </vt:variant>
      <vt:variant>
        <vt:i4>5</vt:i4>
      </vt:variant>
      <vt:variant>
        <vt:lpwstr/>
      </vt:variant>
      <vt:variant>
        <vt:lpwstr>_Toc212261398</vt:lpwstr>
      </vt:variant>
      <vt:variant>
        <vt:i4>1835061</vt:i4>
      </vt:variant>
      <vt:variant>
        <vt:i4>236</vt:i4>
      </vt:variant>
      <vt:variant>
        <vt:i4>0</vt:i4>
      </vt:variant>
      <vt:variant>
        <vt:i4>5</vt:i4>
      </vt:variant>
      <vt:variant>
        <vt:lpwstr/>
      </vt:variant>
      <vt:variant>
        <vt:lpwstr>_Toc212261397</vt:lpwstr>
      </vt:variant>
      <vt:variant>
        <vt:i4>1835061</vt:i4>
      </vt:variant>
      <vt:variant>
        <vt:i4>230</vt:i4>
      </vt:variant>
      <vt:variant>
        <vt:i4>0</vt:i4>
      </vt:variant>
      <vt:variant>
        <vt:i4>5</vt:i4>
      </vt:variant>
      <vt:variant>
        <vt:lpwstr/>
      </vt:variant>
      <vt:variant>
        <vt:lpwstr>_Toc212261396</vt:lpwstr>
      </vt:variant>
      <vt:variant>
        <vt:i4>1835061</vt:i4>
      </vt:variant>
      <vt:variant>
        <vt:i4>224</vt:i4>
      </vt:variant>
      <vt:variant>
        <vt:i4>0</vt:i4>
      </vt:variant>
      <vt:variant>
        <vt:i4>5</vt:i4>
      </vt:variant>
      <vt:variant>
        <vt:lpwstr/>
      </vt:variant>
      <vt:variant>
        <vt:lpwstr>_Toc212261395</vt:lpwstr>
      </vt:variant>
      <vt:variant>
        <vt:i4>1835061</vt:i4>
      </vt:variant>
      <vt:variant>
        <vt:i4>218</vt:i4>
      </vt:variant>
      <vt:variant>
        <vt:i4>0</vt:i4>
      </vt:variant>
      <vt:variant>
        <vt:i4>5</vt:i4>
      </vt:variant>
      <vt:variant>
        <vt:lpwstr/>
      </vt:variant>
      <vt:variant>
        <vt:lpwstr>_Toc212261394</vt:lpwstr>
      </vt:variant>
      <vt:variant>
        <vt:i4>1835061</vt:i4>
      </vt:variant>
      <vt:variant>
        <vt:i4>212</vt:i4>
      </vt:variant>
      <vt:variant>
        <vt:i4>0</vt:i4>
      </vt:variant>
      <vt:variant>
        <vt:i4>5</vt:i4>
      </vt:variant>
      <vt:variant>
        <vt:lpwstr/>
      </vt:variant>
      <vt:variant>
        <vt:lpwstr>_Toc212261393</vt:lpwstr>
      </vt:variant>
      <vt:variant>
        <vt:i4>1835061</vt:i4>
      </vt:variant>
      <vt:variant>
        <vt:i4>206</vt:i4>
      </vt:variant>
      <vt:variant>
        <vt:i4>0</vt:i4>
      </vt:variant>
      <vt:variant>
        <vt:i4>5</vt:i4>
      </vt:variant>
      <vt:variant>
        <vt:lpwstr/>
      </vt:variant>
      <vt:variant>
        <vt:lpwstr>_Toc212261392</vt:lpwstr>
      </vt:variant>
      <vt:variant>
        <vt:i4>1835061</vt:i4>
      </vt:variant>
      <vt:variant>
        <vt:i4>200</vt:i4>
      </vt:variant>
      <vt:variant>
        <vt:i4>0</vt:i4>
      </vt:variant>
      <vt:variant>
        <vt:i4>5</vt:i4>
      </vt:variant>
      <vt:variant>
        <vt:lpwstr/>
      </vt:variant>
      <vt:variant>
        <vt:lpwstr>_Toc212261391</vt:lpwstr>
      </vt:variant>
      <vt:variant>
        <vt:i4>1835061</vt:i4>
      </vt:variant>
      <vt:variant>
        <vt:i4>194</vt:i4>
      </vt:variant>
      <vt:variant>
        <vt:i4>0</vt:i4>
      </vt:variant>
      <vt:variant>
        <vt:i4>5</vt:i4>
      </vt:variant>
      <vt:variant>
        <vt:lpwstr/>
      </vt:variant>
      <vt:variant>
        <vt:lpwstr>_Toc212261390</vt:lpwstr>
      </vt:variant>
      <vt:variant>
        <vt:i4>1900597</vt:i4>
      </vt:variant>
      <vt:variant>
        <vt:i4>188</vt:i4>
      </vt:variant>
      <vt:variant>
        <vt:i4>0</vt:i4>
      </vt:variant>
      <vt:variant>
        <vt:i4>5</vt:i4>
      </vt:variant>
      <vt:variant>
        <vt:lpwstr/>
      </vt:variant>
      <vt:variant>
        <vt:lpwstr>_Toc212261389</vt:lpwstr>
      </vt:variant>
      <vt:variant>
        <vt:i4>1900597</vt:i4>
      </vt:variant>
      <vt:variant>
        <vt:i4>182</vt:i4>
      </vt:variant>
      <vt:variant>
        <vt:i4>0</vt:i4>
      </vt:variant>
      <vt:variant>
        <vt:i4>5</vt:i4>
      </vt:variant>
      <vt:variant>
        <vt:lpwstr/>
      </vt:variant>
      <vt:variant>
        <vt:lpwstr>_Toc212261388</vt:lpwstr>
      </vt:variant>
      <vt:variant>
        <vt:i4>1900597</vt:i4>
      </vt:variant>
      <vt:variant>
        <vt:i4>176</vt:i4>
      </vt:variant>
      <vt:variant>
        <vt:i4>0</vt:i4>
      </vt:variant>
      <vt:variant>
        <vt:i4>5</vt:i4>
      </vt:variant>
      <vt:variant>
        <vt:lpwstr/>
      </vt:variant>
      <vt:variant>
        <vt:lpwstr>_Toc212261387</vt:lpwstr>
      </vt:variant>
      <vt:variant>
        <vt:i4>1900597</vt:i4>
      </vt:variant>
      <vt:variant>
        <vt:i4>170</vt:i4>
      </vt:variant>
      <vt:variant>
        <vt:i4>0</vt:i4>
      </vt:variant>
      <vt:variant>
        <vt:i4>5</vt:i4>
      </vt:variant>
      <vt:variant>
        <vt:lpwstr/>
      </vt:variant>
      <vt:variant>
        <vt:lpwstr>_Toc212261386</vt:lpwstr>
      </vt:variant>
      <vt:variant>
        <vt:i4>1900597</vt:i4>
      </vt:variant>
      <vt:variant>
        <vt:i4>164</vt:i4>
      </vt:variant>
      <vt:variant>
        <vt:i4>0</vt:i4>
      </vt:variant>
      <vt:variant>
        <vt:i4>5</vt:i4>
      </vt:variant>
      <vt:variant>
        <vt:lpwstr/>
      </vt:variant>
      <vt:variant>
        <vt:lpwstr>_Toc212261385</vt:lpwstr>
      </vt:variant>
      <vt:variant>
        <vt:i4>1900597</vt:i4>
      </vt:variant>
      <vt:variant>
        <vt:i4>158</vt:i4>
      </vt:variant>
      <vt:variant>
        <vt:i4>0</vt:i4>
      </vt:variant>
      <vt:variant>
        <vt:i4>5</vt:i4>
      </vt:variant>
      <vt:variant>
        <vt:lpwstr/>
      </vt:variant>
      <vt:variant>
        <vt:lpwstr>_Toc212261384</vt:lpwstr>
      </vt:variant>
      <vt:variant>
        <vt:i4>1900597</vt:i4>
      </vt:variant>
      <vt:variant>
        <vt:i4>152</vt:i4>
      </vt:variant>
      <vt:variant>
        <vt:i4>0</vt:i4>
      </vt:variant>
      <vt:variant>
        <vt:i4>5</vt:i4>
      </vt:variant>
      <vt:variant>
        <vt:lpwstr/>
      </vt:variant>
      <vt:variant>
        <vt:lpwstr>_Toc212261383</vt:lpwstr>
      </vt:variant>
      <vt:variant>
        <vt:i4>1900597</vt:i4>
      </vt:variant>
      <vt:variant>
        <vt:i4>146</vt:i4>
      </vt:variant>
      <vt:variant>
        <vt:i4>0</vt:i4>
      </vt:variant>
      <vt:variant>
        <vt:i4>5</vt:i4>
      </vt:variant>
      <vt:variant>
        <vt:lpwstr/>
      </vt:variant>
      <vt:variant>
        <vt:lpwstr>_Toc212261382</vt:lpwstr>
      </vt:variant>
      <vt:variant>
        <vt:i4>1900597</vt:i4>
      </vt:variant>
      <vt:variant>
        <vt:i4>140</vt:i4>
      </vt:variant>
      <vt:variant>
        <vt:i4>0</vt:i4>
      </vt:variant>
      <vt:variant>
        <vt:i4>5</vt:i4>
      </vt:variant>
      <vt:variant>
        <vt:lpwstr/>
      </vt:variant>
      <vt:variant>
        <vt:lpwstr>_Toc212261381</vt:lpwstr>
      </vt:variant>
      <vt:variant>
        <vt:i4>1900597</vt:i4>
      </vt:variant>
      <vt:variant>
        <vt:i4>134</vt:i4>
      </vt:variant>
      <vt:variant>
        <vt:i4>0</vt:i4>
      </vt:variant>
      <vt:variant>
        <vt:i4>5</vt:i4>
      </vt:variant>
      <vt:variant>
        <vt:lpwstr/>
      </vt:variant>
      <vt:variant>
        <vt:lpwstr>_Toc212261380</vt:lpwstr>
      </vt:variant>
      <vt:variant>
        <vt:i4>1179701</vt:i4>
      </vt:variant>
      <vt:variant>
        <vt:i4>128</vt:i4>
      </vt:variant>
      <vt:variant>
        <vt:i4>0</vt:i4>
      </vt:variant>
      <vt:variant>
        <vt:i4>5</vt:i4>
      </vt:variant>
      <vt:variant>
        <vt:lpwstr/>
      </vt:variant>
      <vt:variant>
        <vt:lpwstr>_Toc212261379</vt:lpwstr>
      </vt:variant>
      <vt:variant>
        <vt:i4>1179701</vt:i4>
      </vt:variant>
      <vt:variant>
        <vt:i4>122</vt:i4>
      </vt:variant>
      <vt:variant>
        <vt:i4>0</vt:i4>
      </vt:variant>
      <vt:variant>
        <vt:i4>5</vt:i4>
      </vt:variant>
      <vt:variant>
        <vt:lpwstr/>
      </vt:variant>
      <vt:variant>
        <vt:lpwstr>_Toc212261378</vt:lpwstr>
      </vt:variant>
      <vt:variant>
        <vt:i4>1179701</vt:i4>
      </vt:variant>
      <vt:variant>
        <vt:i4>116</vt:i4>
      </vt:variant>
      <vt:variant>
        <vt:i4>0</vt:i4>
      </vt:variant>
      <vt:variant>
        <vt:i4>5</vt:i4>
      </vt:variant>
      <vt:variant>
        <vt:lpwstr/>
      </vt:variant>
      <vt:variant>
        <vt:lpwstr>_Toc212261377</vt:lpwstr>
      </vt:variant>
      <vt:variant>
        <vt:i4>1179701</vt:i4>
      </vt:variant>
      <vt:variant>
        <vt:i4>110</vt:i4>
      </vt:variant>
      <vt:variant>
        <vt:i4>0</vt:i4>
      </vt:variant>
      <vt:variant>
        <vt:i4>5</vt:i4>
      </vt:variant>
      <vt:variant>
        <vt:lpwstr/>
      </vt:variant>
      <vt:variant>
        <vt:lpwstr>_Toc212261376</vt:lpwstr>
      </vt:variant>
      <vt:variant>
        <vt:i4>1179701</vt:i4>
      </vt:variant>
      <vt:variant>
        <vt:i4>104</vt:i4>
      </vt:variant>
      <vt:variant>
        <vt:i4>0</vt:i4>
      </vt:variant>
      <vt:variant>
        <vt:i4>5</vt:i4>
      </vt:variant>
      <vt:variant>
        <vt:lpwstr/>
      </vt:variant>
      <vt:variant>
        <vt:lpwstr>_Toc212261375</vt:lpwstr>
      </vt:variant>
      <vt:variant>
        <vt:i4>1179701</vt:i4>
      </vt:variant>
      <vt:variant>
        <vt:i4>98</vt:i4>
      </vt:variant>
      <vt:variant>
        <vt:i4>0</vt:i4>
      </vt:variant>
      <vt:variant>
        <vt:i4>5</vt:i4>
      </vt:variant>
      <vt:variant>
        <vt:lpwstr/>
      </vt:variant>
      <vt:variant>
        <vt:lpwstr>_Toc212261374</vt:lpwstr>
      </vt:variant>
      <vt:variant>
        <vt:i4>1179701</vt:i4>
      </vt:variant>
      <vt:variant>
        <vt:i4>92</vt:i4>
      </vt:variant>
      <vt:variant>
        <vt:i4>0</vt:i4>
      </vt:variant>
      <vt:variant>
        <vt:i4>5</vt:i4>
      </vt:variant>
      <vt:variant>
        <vt:lpwstr/>
      </vt:variant>
      <vt:variant>
        <vt:lpwstr>_Toc212261373</vt:lpwstr>
      </vt:variant>
      <vt:variant>
        <vt:i4>1179701</vt:i4>
      </vt:variant>
      <vt:variant>
        <vt:i4>86</vt:i4>
      </vt:variant>
      <vt:variant>
        <vt:i4>0</vt:i4>
      </vt:variant>
      <vt:variant>
        <vt:i4>5</vt:i4>
      </vt:variant>
      <vt:variant>
        <vt:lpwstr/>
      </vt:variant>
      <vt:variant>
        <vt:lpwstr>_Toc212261372</vt:lpwstr>
      </vt:variant>
      <vt:variant>
        <vt:i4>1179701</vt:i4>
      </vt:variant>
      <vt:variant>
        <vt:i4>80</vt:i4>
      </vt:variant>
      <vt:variant>
        <vt:i4>0</vt:i4>
      </vt:variant>
      <vt:variant>
        <vt:i4>5</vt:i4>
      </vt:variant>
      <vt:variant>
        <vt:lpwstr/>
      </vt:variant>
      <vt:variant>
        <vt:lpwstr>_Toc212261371</vt:lpwstr>
      </vt:variant>
      <vt:variant>
        <vt:i4>1179701</vt:i4>
      </vt:variant>
      <vt:variant>
        <vt:i4>74</vt:i4>
      </vt:variant>
      <vt:variant>
        <vt:i4>0</vt:i4>
      </vt:variant>
      <vt:variant>
        <vt:i4>5</vt:i4>
      </vt:variant>
      <vt:variant>
        <vt:lpwstr/>
      </vt:variant>
      <vt:variant>
        <vt:lpwstr>_Toc212261370</vt:lpwstr>
      </vt:variant>
      <vt:variant>
        <vt:i4>1245237</vt:i4>
      </vt:variant>
      <vt:variant>
        <vt:i4>68</vt:i4>
      </vt:variant>
      <vt:variant>
        <vt:i4>0</vt:i4>
      </vt:variant>
      <vt:variant>
        <vt:i4>5</vt:i4>
      </vt:variant>
      <vt:variant>
        <vt:lpwstr/>
      </vt:variant>
      <vt:variant>
        <vt:lpwstr>_Toc212261369</vt:lpwstr>
      </vt:variant>
      <vt:variant>
        <vt:i4>1245237</vt:i4>
      </vt:variant>
      <vt:variant>
        <vt:i4>62</vt:i4>
      </vt:variant>
      <vt:variant>
        <vt:i4>0</vt:i4>
      </vt:variant>
      <vt:variant>
        <vt:i4>5</vt:i4>
      </vt:variant>
      <vt:variant>
        <vt:lpwstr/>
      </vt:variant>
      <vt:variant>
        <vt:lpwstr>_Toc212261368</vt:lpwstr>
      </vt:variant>
      <vt:variant>
        <vt:i4>1245237</vt:i4>
      </vt:variant>
      <vt:variant>
        <vt:i4>56</vt:i4>
      </vt:variant>
      <vt:variant>
        <vt:i4>0</vt:i4>
      </vt:variant>
      <vt:variant>
        <vt:i4>5</vt:i4>
      </vt:variant>
      <vt:variant>
        <vt:lpwstr/>
      </vt:variant>
      <vt:variant>
        <vt:lpwstr>_Toc212261367</vt:lpwstr>
      </vt:variant>
      <vt:variant>
        <vt:i4>1245237</vt:i4>
      </vt:variant>
      <vt:variant>
        <vt:i4>50</vt:i4>
      </vt:variant>
      <vt:variant>
        <vt:i4>0</vt:i4>
      </vt:variant>
      <vt:variant>
        <vt:i4>5</vt:i4>
      </vt:variant>
      <vt:variant>
        <vt:lpwstr/>
      </vt:variant>
      <vt:variant>
        <vt:lpwstr>_Toc212261366</vt:lpwstr>
      </vt:variant>
      <vt:variant>
        <vt:i4>1245237</vt:i4>
      </vt:variant>
      <vt:variant>
        <vt:i4>44</vt:i4>
      </vt:variant>
      <vt:variant>
        <vt:i4>0</vt:i4>
      </vt:variant>
      <vt:variant>
        <vt:i4>5</vt:i4>
      </vt:variant>
      <vt:variant>
        <vt:lpwstr/>
      </vt:variant>
      <vt:variant>
        <vt:lpwstr>_Toc212261365</vt:lpwstr>
      </vt:variant>
      <vt:variant>
        <vt:i4>1245237</vt:i4>
      </vt:variant>
      <vt:variant>
        <vt:i4>38</vt:i4>
      </vt:variant>
      <vt:variant>
        <vt:i4>0</vt:i4>
      </vt:variant>
      <vt:variant>
        <vt:i4>5</vt:i4>
      </vt:variant>
      <vt:variant>
        <vt:lpwstr/>
      </vt:variant>
      <vt:variant>
        <vt:lpwstr>_Toc212261364</vt:lpwstr>
      </vt:variant>
      <vt:variant>
        <vt:i4>1245237</vt:i4>
      </vt:variant>
      <vt:variant>
        <vt:i4>32</vt:i4>
      </vt:variant>
      <vt:variant>
        <vt:i4>0</vt:i4>
      </vt:variant>
      <vt:variant>
        <vt:i4>5</vt:i4>
      </vt:variant>
      <vt:variant>
        <vt:lpwstr/>
      </vt:variant>
      <vt:variant>
        <vt:lpwstr>_Toc212261363</vt:lpwstr>
      </vt:variant>
      <vt:variant>
        <vt:i4>1245237</vt:i4>
      </vt:variant>
      <vt:variant>
        <vt:i4>26</vt:i4>
      </vt:variant>
      <vt:variant>
        <vt:i4>0</vt:i4>
      </vt:variant>
      <vt:variant>
        <vt:i4>5</vt:i4>
      </vt:variant>
      <vt:variant>
        <vt:lpwstr/>
      </vt:variant>
      <vt:variant>
        <vt:lpwstr>_Toc212261362</vt:lpwstr>
      </vt:variant>
      <vt:variant>
        <vt:i4>1245237</vt:i4>
      </vt:variant>
      <vt:variant>
        <vt:i4>20</vt:i4>
      </vt:variant>
      <vt:variant>
        <vt:i4>0</vt:i4>
      </vt:variant>
      <vt:variant>
        <vt:i4>5</vt:i4>
      </vt:variant>
      <vt:variant>
        <vt:lpwstr/>
      </vt:variant>
      <vt:variant>
        <vt:lpwstr>_Toc212261361</vt:lpwstr>
      </vt:variant>
      <vt:variant>
        <vt:i4>1245237</vt:i4>
      </vt:variant>
      <vt:variant>
        <vt:i4>14</vt:i4>
      </vt:variant>
      <vt:variant>
        <vt:i4>0</vt:i4>
      </vt:variant>
      <vt:variant>
        <vt:i4>5</vt:i4>
      </vt:variant>
      <vt:variant>
        <vt:lpwstr/>
      </vt:variant>
      <vt:variant>
        <vt:lpwstr>_Toc212261360</vt:lpwstr>
      </vt:variant>
      <vt:variant>
        <vt:i4>1048629</vt:i4>
      </vt:variant>
      <vt:variant>
        <vt:i4>8</vt:i4>
      </vt:variant>
      <vt:variant>
        <vt:i4>0</vt:i4>
      </vt:variant>
      <vt:variant>
        <vt:i4>5</vt:i4>
      </vt:variant>
      <vt:variant>
        <vt:lpwstr/>
      </vt:variant>
      <vt:variant>
        <vt:lpwstr>_Toc212261359</vt:lpwstr>
      </vt:variant>
      <vt:variant>
        <vt:i4>1048629</vt:i4>
      </vt:variant>
      <vt:variant>
        <vt:i4>2</vt:i4>
      </vt:variant>
      <vt:variant>
        <vt:i4>0</vt:i4>
      </vt:variant>
      <vt:variant>
        <vt:i4>5</vt:i4>
      </vt:variant>
      <vt:variant>
        <vt:lpwstr/>
      </vt:variant>
      <vt:variant>
        <vt:lpwstr>_Toc212261358</vt:lpwstr>
      </vt:variant>
      <vt:variant>
        <vt:i4>6094867</vt:i4>
      </vt:variant>
      <vt:variant>
        <vt:i4>0</vt:i4>
      </vt:variant>
      <vt:variant>
        <vt:i4>0</vt:i4>
      </vt:variant>
      <vt:variant>
        <vt:i4>5</vt:i4>
      </vt:variant>
      <vt:variant>
        <vt:lpwstr>http://www.4dprojekt.cz/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creator>Josef Gabrhel</dc:creator>
  <cp:lastModifiedBy>Říha Stanislav</cp:lastModifiedBy>
  <cp:revision>46</cp:revision>
  <cp:lastPrinted>2016-01-05T16:26:00Z</cp:lastPrinted>
  <dcterms:created xsi:type="dcterms:W3CDTF">2018-11-23T08:44:00Z</dcterms:created>
  <dcterms:modified xsi:type="dcterms:W3CDTF">2022-08-15T09:12:00Z</dcterms:modified>
</cp:coreProperties>
</file>